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CF" w:rsidRDefault="008F40CF" w:rsidP="008F40CF">
      <w:pPr>
        <w:rPr>
          <w:rFonts w:ascii="Traditional Arabic" w:hAnsi="Traditional Arabic" w:cs="Traditional Arabic"/>
          <w:b/>
          <w:bCs/>
          <w:sz w:val="32"/>
          <w:szCs w:val="32"/>
          <w:rtl/>
        </w:rPr>
      </w:pPr>
    </w:p>
    <w:p w:rsidR="008F40CF" w:rsidRDefault="008F40CF" w:rsidP="004241F1">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الكاتب: معطى الله محمد الأمين</w:t>
      </w:r>
    </w:p>
    <w:p w:rsidR="008F40CF" w:rsidRDefault="008F40CF" w:rsidP="004241F1">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عنوان المَقال:</w:t>
      </w:r>
    </w:p>
    <w:p w:rsidR="008F40CF" w:rsidRPr="008F40CF" w:rsidRDefault="008F40CF" w:rsidP="00945888">
      <w:pPr>
        <w:jc w:val="center"/>
        <w:rPr>
          <w:rFonts w:ascii="Traditional Arabic" w:hAnsi="Traditional Arabic" w:cs="Traditional Arabic"/>
          <w:b/>
          <w:bCs/>
          <w:sz w:val="32"/>
          <w:szCs w:val="32"/>
          <w:u w:val="single"/>
          <w:rtl/>
        </w:rPr>
      </w:pPr>
      <w:r w:rsidRPr="008F40CF">
        <w:rPr>
          <w:rFonts w:ascii="Traditional Arabic" w:hAnsi="Traditional Arabic" w:cs="Traditional Arabic" w:hint="cs"/>
          <w:b/>
          <w:bCs/>
          <w:sz w:val="32"/>
          <w:szCs w:val="32"/>
          <w:u w:val="single"/>
          <w:rtl/>
        </w:rPr>
        <w:t xml:space="preserve">أثر الشَّاهد في إرساء مَلامِح النَّقد </w:t>
      </w:r>
      <w:r w:rsidR="004241F1" w:rsidRPr="008F40CF">
        <w:rPr>
          <w:rFonts w:ascii="Traditional Arabic" w:hAnsi="Traditional Arabic" w:cs="Traditional Arabic" w:hint="cs"/>
          <w:b/>
          <w:bCs/>
          <w:sz w:val="32"/>
          <w:szCs w:val="32"/>
          <w:u w:val="single"/>
          <w:rtl/>
        </w:rPr>
        <w:t>الثقافيِّ</w:t>
      </w:r>
      <w:r w:rsidR="004241F1">
        <w:rPr>
          <w:rFonts w:ascii="Traditional Arabic" w:hAnsi="Traditional Arabic" w:cs="Traditional Arabic" w:hint="cs"/>
          <w:b/>
          <w:bCs/>
          <w:sz w:val="32"/>
          <w:szCs w:val="32"/>
          <w:u w:val="single"/>
          <w:rtl/>
        </w:rPr>
        <w:t>،</w:t>
      </w:r>
      <w:r w:rsidR="00945888">
        <w:rPr>
          <w:rFonts w:ascii="Traditional Arabic" w:hAnsi="Traditional Arabic" w:cs="Traditional Arabic" w:hint="cs"/>
          <w:b/>
          <w:bCs/>
          <w:sz w:val="32"/>
          <w:szCs w:val="32"/>
          <w:u w:val="single"/>
          <w:rtl/>
        </w:rPr>
        <w:t xml:space="preserve"> عندَ</w:t>
      </w:r>
      <w:r w:rsidRPr="008F40CF">
        <w:rPr>
          <w:rFonts w:ascii="Traditional Arabic" w:hAnsi="Traditional Arabic" w:cs="Traditional Arabic" w:hint="cs"/>
          <w:b/>
          <w:bCs/>
          <w:sz w:val="32"/>
          <w:szCs w:val="32"/>
          <w:u w:val="single"/>
          <w:rtl/>
        </w:rPr>
        <w:t xml:space="preserve"> عبد الله </w:t>
      </w:r>
      <w:r w:rsidR="00945888" w:rsidRPr="008F40CF">
        <w:rPr>
          <w:rFonts w:ascii="Traditional Arabic" w:hAnsi="Traditional Arabic" w:cs="Traditional Arabic" w:hint="cs"/>
          <w:b/>
          <w:bCs/>
          <w:sz w:val="32"/>
          <w:szCs w:val="32"/>
          <w:u w:val="single"/>
          <w:rtl/>
        </w:rPr>
        <w:t>الغذَّاميِّ</w:t>
      </w:r>
      <w:r w:rsidR="00945888">
        <w:rPr>
          <w:rFonts w:ascii="Traditional Arabic" w:hAnsi="Traditional Arabic" w:cs="Traditional Arabic" w:hint="cs"/>
          <w:b/>
          <w:bCs/>
          <w:sz w:val="32"/>
          <w:szCs w:val="32"/>
          <w:u w:val="single"/>
          <w:rtl/>
        </w:rPr>
        <w:t>.</w:t>
      </w:r>
    </w:p>
    <w:p w:rsidR="00D822BA" w:rsidRDefault="00D822BA" w:rsidP="00365B71">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تتَّسمُ أعمال الناقدِ السُّعوديِّ عبد الله الغذاميِّ بالتفرُّد في الط</w:t>
      </w:r>
      <w:r w:rsidR="00BE160B">
        <w:rPr>
          <w:rFonts w:ascii="Traditional Arabic" w:hAnsi="Traditional Arabic" w:cs="Traditional Arabic" w:hint="cs"/>
          <w:sz w:val="32"/>
          <w:szCs w:val="32"/>
          <w:rtl/>
        </w:rPr>
        <w:t>ّ</w:t>
      </w:r>
      <w:r>
        <w:rPr>
          <w:rFonts w:ascii="Traditional Arabic" w:hAnsi="Traditional Arabic" w:cs="Traditional Arabic" w:hint="cs"/>
          <w:sz w:val="32"/>
          <w:szCs w:val="32"/>
          <w:rtl/>
        </w:rPr>
        <w:t>رحِ، والتمهُّر في انتقاء</w:t>
      </w:r>
      <w:r w:rsidR="009E6E80">
        <w:rPr>
          <w:rFonts w:ascii="Traditional Arabic" w:hAnsi="Traditional Arabic" w:cs="Traditional Arabic" w:hint="cs"/>
          <w:sz w:val="32"/>
          <w:szCs w:val="32"/>
          <w:rtl/>
        </w:rPr>
        <w:t xml:space="preserve"> الشَواهدِ</w:t>
      </w:r>
      <w:r>
        <w:rPr>
          <w:rFonts w:ascii="Traditional Arabic" w:hAnsi="Traditional Arabic" w:cs="Traditional Arabic" w:hint="cs"/>
          <w:sz w:val="32"/>
          <w:szCs w:val="32"/>
          <w:rtl/>
        </w:rPr>
        <w:t xml:space="preserve"> الأدبيَّة بشق</w:t>
      </w:r>
      <w:r w:rsidR="00D25926">
        <w:rPr>
          <w:rFonts w:ascii="Traditional Arabic" w:hAnsi="Traditional Arabic" w:cs="Traditional Arabic" w:hint="cs"/>
          <w:sz w:val="32"/>
          <w:szCs w:val="32"/>
          <w:rtl/>
        </w:rPr>
        <w:t>َّ</w:t>
      </w:r>
      <w:r>
        <w:rPr>
          <w:rFonts w:ascii="Traditional Arabic" w:hAnsi="Traditional Arabic" w:cs="Traditional Arabic" w:hint="cs"/>
          <w:sz w:val="32"/>
          <w:szCs w:val="32"/>
          <w:rtl/>
        </w:rPr>
        <w:t>يها التراثيِّ والحداثيِّ، ومن ثمَّ إعادة قراءتِها</w:t>
      </w:r>
      <w:r w:rsidR="00121C1D">
        <w:rPr>
          <w:rFonts w:ascii="Traditional Arabic" w:hAnsi="Traditional Arabic" w:cs="Traditional Arabic" w:hint="cs"/>
          <w:sz w:val="32"/>
          <w:szCs w:val="32"/>
          <w:rtl/>
        </w:rPr>
        <w:t xml:space="preserve"> بالاستِعانةِ</w:t>
      </w:r>
      <w:r>
        <w:rPr>
          <w:rFonts w:ascii="Traditional Arabic" w:hAnsi="Traditional Arabic" w:cs="Traditional Arabic" w:hint="cs"/>
          <w:sz w:val="32"/>
          <w:szCs w:val="32"/>
          <w:rtl/>
        </w:rPr>
        <w:t xml:space="preserve"> </w:t>
      </w:r>
      <w:r w:rsidR="00121C1D">
        <w:rPr>
          <w:rFonts w:ascii="Traditional Arabic" w:hAnsi="Traditional Arabic" w:cs="Traditional Arabic" w:hint="cs"/>
          <w:sz w:val="32"/>
          <w:szCs w:val="32"/>
          <w:rtl/>
        </w:rPr>
        <w:t>ب</w:t>
      </w:r>
      <w:r>
        <w:rPr>
          <w:rFonts w:ascii="Traditional Arabic" w:hAnsi="Traditional Arabic" w:cs="Traditional Arabic" w:hint="cs"/>
          <w:sz w:val="32"/>
          <w:szCs w:val="32"/>
          <w:rtl/>
        </w:rPr>
        <w:t>أدوات</w:t>
      </w:r>
      <w:r w:rsidR="009E6E80">
        <w:rPr>
          <w:rFonts w:ascii="Traditional Arabic" w:hAnsi="Traditional Arabic" w:cs="Traditional Arabic" w:hint="cs"/>
          <w:sz w:val="32"/>
          <w:szCs w:val="32"/>
          <w:rtl/>
        </w:rPr>
        <w:t xml:space="preserve"> معرفيَّة</w:t>
      </w:r>
      <w:r w:rsidR="00121C1D">
        <w:rPr>
          <w:rFonts w:ascii="Traditional Arabic" w:hAnsi="Traditional Arabic" w:cs="Traditional Arabic" w:hint="cs"/>
          <w:sz w:val="32"/>
          <w:szCs w:val="32"/>
          <w:rtl/>
        </w:rPr>
        <w:t xml:space="preserve"> ولُغويَّة ناجزة</w:t>
      </w:r>
      <w:r>
        <w:rPr>
          <w:rFonts w:ascii="Traditional Arabic" w:hAnsi="Traditional Arabic" w:cs="Traditional Arabic" w:hint="cs"/>
          <w:sz w:val="32"/>
          <w:szCs w:val="32"/>
          <w:rtl/>
        </w:rPr>
        <w:t xml:space="preserve"> تُخوِّلهُ الاستفرادَ بمضامينِها الجماليَّة والفنيَّة، </w:t>
      </w:r>
      <w:r w:rsidR="009E6E80">
        <w:rPr>
          <w:rFonts w:ascii="Traditional Arabic" w:hAnsi="Traditional Arabic" w:cs="Traditional Arabic" w:hint="cs"/>
          <w:sz w:val="32"/>
          <w:szCs w:val="32"/>
          <w:rtl/>
        </w:rPr>
        <w:t xml:space="preserve">عدَا تَضلُّعِهِ بتشريح تِلك الشَواهدِ النصيَّة، واستنباطِ أنساقهاِ الثقافيَّة وفق قراءة </w:t>
      </w:r>
      <w:r w:rsidR="00D25926">
        <w:rPr>
          <w:rFonts w:ascii="Traditional Arabic" w:hAnsi="Traditional Arabic" w:cs="Traditional Arabic" w:hint="cs"/>
          <w:sz w:val="32"/>
          <w:szCs w:val="32"/>
          <w:rtl/>
        </w:rPr>
        <w:t>إ</w:t>
      </w:r>
      <w:r w:rsidR="00365B71">
        <w:rPr>
          <w:rFonts w:ascii="Traditional Arabic" w:hAnsi="Traditional Arabic" w:cs="Traditional Arabic" w:hint="cs"/>
          <w:sz w:val="32"/>
          <w:szCs w:val="32"/>
          <w:rtl/>
        </w:rPr>
        <w:t>بستيميَّة ضَليعة،</w:t>
      </w:r>
      <w:r w:rsidR="009E6E80">
        <w:rPr>
          <w:rFonts w:ascii="Traditional Arabic" w:hAnsi="Traditional Arabic" w:cs="Traditional Arabic" w:hint="cs"/>
          <w:sz w:val="32"/>
          <w:szCs w:val="32"/>
          <w:rtl/>
        </w:rPr>
        <w:t xml:space="preserve"> تقوم على ثنائيَّة تعارضيَّة: المضمر والظَّاهر، المتن والهامش،</w:t>
      </w:r>
      <w:r w:rsidR="00121C1D">
        <w:rPr>
          <w:rFonts w:ascii="Traditional Arabic" w:hAnsi="Traditional Arabic" w:cs="Traditional Arabic" w:hint="cs"/>
          <w:sz w:val="32"/>
          <w:szCs w:val="32"/>
          <w:rtl/>
        </w:rPr>
        <w:t xml:space="preserve"> القبيح والجميل</w:t>
      </w:r>
      <w:r w:rsidR="00CB1966">
        <w:rPr>
          <w:rFonts w:ascii="Traditional Arabic" w:hAnsi="Traditional Arabic" w:cs="Traditional Arabic" w:hint="cs"/>
          <w:sz w:val="32"/>
          <w:szCs w:val="32"/>
          <w:rtl/>
        </w:rPr>
        <w:t>، المُماثَلة والمُغايرةُ</w:t>
      </w:r>
      <w:r w:rsidR="0063620D">
        <w:rPr>
          <w:rFonts w:ascii="Traditional Arabic" w:hAnsi="Traditional Arabic" w:cs="Traditional Arabic" w:hint="cs"/>
          <w:sz w:val="32"/>
          <w:szCs w:val="32"/>
          <w:rtl/>
        </w:rPr>
        <w:t>.</w:t>
      </w:r>
    </w:p>
    <w:p w:rsidR="008F40CF" w:rsidRDefault="00392D59" w:rsidP="00050F3F">
      <w:pPr>
        <w:jc w:val="right"/>
        <w:rPr>
          <w:rFonts w:ascii="Traditional Arabic" w:hAnsi="Traditional Arabic" w:cs="Traditional Arabic"/>
          <w:sz w:val="32"/>
          <w:szCs w:val="32"/>
          <w:rtl/>
        </w:rPr>
      </w:pPr>
      <w:r>
        <w:rPr>
          <w:rFonts w:ascii="Traditional Arabic" w:hAnsi="Traditional Arabic" w:cs="Traditional Arabic" w:hint="cs"/>
          <w:sz w:val="32"/>
          <w:szCs w:val="32"/>
          <w:rtl/>
        </w:rPr>
        <w:t>ولئن أفضت</w:t>
      </w:r>
      <w:r w:rsidR="0063620D">
        <w:rPr>
          <w:rFonts w:ascii="Traditional Arabic" w:hAnsi="Traditional Arabic" w:cs="Traditional Arabic" w:hint="cs"/>
          <w:sz w:val="32"/>
          <w:szCs w:val="32"/>
          <w:rtl/>
        </w:rPr>
        <w:t xml:space="preserve"> تلكَ الجهود التحليليَّة المضنيةِ من لَدُنِ النَّاقد إلى</w:t>
      </w:r>
      <w:r w:rsidR="00121C1D">
        <w:rPr>
          <w:rFonts w:ascii="Traditional Arabic" w:hAnsi="Traditional Arabic" w:cs="Traditional Arabic" w:hint="cs"/>
          <w:sz w:val="32"/>
          <w:szCs w:val="32"/>
          <w:rtl/>
        </w:rPr>
        <w:t xml:space="preserve"> ميلادِ توجُه نقديِّ بأنفاسِ ثقافيَّة جديد</w:t>
      </w:r>
      <w:r w:rsidR="004C58B0">
        <w:rPr>
          <w:rFonts w:ascii="Traditional Arabic" w:hAnsi="Traditional Arabic" w:cs="Traditional Arabic" w:hint="cs"/>
          <w:sz w:val="32"/>
          <w:szCs w:val="32"/>
          <w:rtl/>
        </w:rPr>
        <w:t>ة</w:t>
      </w:r>
      <w:r w:rsidR="00121C1D">
        <w:rPr>
          <w:rFonts w:ascii="Traditional Arabic" w:hAnsi="Traditional Arabic" w:cs="Traditional Arabic" w:hint="cs"/>
          <w:sz w:val="32"/>
          <w:szCs w:val="32"/>
          <w:rtl/>
        </w:rPr>
        <w:t xml:space="preserve"> في الد</w:t>
      </w:r>
      <w:r w:rsidR="00BE160B">
        <w:rPr>
          <w:rFonts w:ascii="Traditional Arabic" w:hAnsi="Traditional Arabic" w:cs="Traditional Arabic" w:hint="cs"/>
          <w:sz w:val="32"/>
          <w:szCs w:val="32"/>
          <w:rtl/>
        </w:rPr>
        <w:t>ِّ</w:t>
      </w:r>
      <w:r w:rsidR="00121C1D">
        <w:rPr>
          <w:rFonts w:ascii="Traditional Arabic" w:hAnsi="Traditional Arabic" w:cs="Traditional Arabic" w:hint="cs"/>
          <w:sz w:val="32"/>
          <w:szCs w:val="32"/>
          <w:rtl/>
        </w:rPr>
        <w:t>راساتِ العربيَّة، التي لطالما أرهقَها مرانُ الكلاسيكيَّة التقليديَّة، فإن</w:t>
      </w:r>
      <w:r w:rsidR="00BF6278">
        <w:rPr>
          <w:rFonts w:ascii="Traditional Arabic" w:hAnsi="Traditional Arabic" w:cs="Traditional Arabic" w:hint="cs"/>
          <w:sz w:val="32"/>
          <w:szCs w:val="32"/>
          <w:rtl/>
        </w:rPr>
        <w:t>َّ</w:t>
      </w:r>
      <w:r w:rsidR="00121C1D">
        <w:rPr>
          <w:rFonts w:ascii="Traditional Arabic" w:hAnsi="Traditional Arabic" w:cs="Traditional Arabic" w:hint="cs"/>
          <w:sz w:val="32"/>
          <w:szCs w:val="32"/>
          <w:rtl/>
        </w:rPr>
        <w:t xml:space="preserve"> ذلِكَ يعود</w:t>
      </w:r>
      <w:r w:rsidR="0063620D">
        <w:rPr>
          <w:rFonts w:ascii="Traditional Arabic" w:hAnsi="Traditional Arabic" w:cs="Traditional Arabic" w:hint="cs"/>
          <w:sz w:val="32"/>
          <w:szCs w:val="32"/>
          <w:rtl/>
        </w:rPr>
        <w:t xml:space="preserve"> أسَاسًا</w:t>
      </w:r>
      <w:r w:rsidR="00121C1D">
        <w:rPr>
          <w:rFonts w:ascii="Traditional Arabic" w:hAnsi="Traditional Arabic" w:cs="Traditional Arabic" w:hint="cs"/>
          <w:sz w:val="32"/>
          <w:szCs w:val="32"/>
          <w:rtl/>
        </w:rPr>
        <w:t xml:space="preserve"> إلى</w:t>
      </w:r>
      <w:r w:rsidR="004C58B0">
        <w:rPr>
          <w:rFonts w:ascii="Traditional Arabic" w:hAnsi="Traditional Arabic" w:cs="Traditional Arabic" w:hint="cs"/>
          <w:sz w:val="32"/>
          <w:szCs w:val="32"/>
          <w:rtl/>
        </w:rPr>
        <w:t xml:space="preserve"> </w:t>
      </w:r>
      <w:r w:rsidR="00037DEE">
        <w:rPr>
          <w:rFonts w:ascii="Traditional Arabic" w:hAnsi="Traditional Arabic" w:cs="Traditional Arabic" w:hint="cs"/>
          <w:sz w:val="32"/>
          <w:szCs w:val="32"/>
          <w:rtl/>
        </w:rPr>
        <w:t>براعة تحيينِ الش</w:t>
      </w:r>
      <w:r w:rsidR="00BF6278">
        <w:rPr>
          <w:rFonts w:ascii="Traditional Arabic" w:hAnsi="Traditional Arabic" w:cs="Traditional Arabic" w:hint="cs"/>
          <w:sz w:val="32"/>
          <w:szCs w:val="32"/>
          <w:rtl/>
        </w:rPr>
        <w:t>َّ</w:t>
      </w:r>
      <w:r w:rsidR="00037DEE">
        <w:rPr>
          <w:rFonts w:ascii="Traditional Arabic" w:hAnsi="Traditional Arabic" w:cs="Traditional Arabic" w:hint="cs"/>
          <w:sz w:val="32"/>
          <w:szCs w:val="32"/>
          <w:rtl/>
        </w:rPr>
        <w:t>اهدِ الأدبيِّ وربطهِ بمسارهِ التطبيقيِّ من خلالِ تثويرِ دلالاتهِ المستنس</w:t>
      </w:r>
      <w:r w:rsidR="00BE160B">
        <w:rPr>
          <w:rFonts w:ascii="Traditional Arabic" w:hAnsi="Traditional Arabic" w:cs="Traditional Arabic" w:hint="cs"/>
          <w:sz w:val="32"/>
          <w:szCs w:val="32"/>
          <w:rtl/>
        </w:rPr>
        <w:t>َ</w:t>
      </w:r>
      <w:r w:rsidR="00037DEE">
        <w:rPr>
          <w:rFonts w:ascii="Traditional Arabic" w:hAnsi="Traditional Arabic" w:cs="Traditional Arabic" w:hint="cs"/>
          <w:sz w:val="32"/>
          <w:szCs w:val="32"/>
          <w:rtl/>
        </w:rPr>
        <w:t>خة بفعلِ ال</w:t>
      </w:r>
      <w:r w:rsidR="0063620D">
        <w:rPr>
          <w:rFonts w:ascii="Traditional Arabic" w:hAnsi="Traditional Arabic" w:cs="Traditional Arabic" w:hint="cs"/>
          <w:sz w:val="32"/>
          <w:szCs w:val="32"/>
          <w:rtl/>
        </w:rPr>
        <w:t>قراءاتِ الأحاديَّة ذاتِ الصيغةِ المكرورةِ</w:t>
      </w:r>
      <w:r>
        <w:rPr>
          <w:rFonts w:ascii="Traditional Arabic" w:hAnsi="Traditional Arabic" w:cs="Traditional Arabic" w:hint="cs"/>
          <w:sz w:val="32"/>
          <w:szCs w:val="32"/>
          <w:rtl/>
        </w:rPr>
        <w:t xml:space="preserve">. </w:t>
      </w:r>
    </w:p>
    <w:p w:rsidR="00BB113E" w:rsidRDefault="00BF6278" w:rsidP="00A05B71">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أينَ </w:t>
      </w:r>
      <w:r w:rsidR="00BA2B12">
        <w:rPr>
          <w:rFonts w:ascii="Traditional Arabic" w:hAnsi="Traditional Arabic" w:cs="Traditional Arabic" w:hint="cs"/>
          <w:sz w:val="32"/>
          <w:szCs w:val="32"/>
          <w:rtl/>
        </w:rPr>
        <w:t>يَتِمُّ</w:t>
      </w:r>
      <w:r w:rsidR="0063620D">
        <w:rPr>
          <w:rFonts w:ascii="Traditional Arabic" w:hAnsi="Traditional Arabic" w:cs="Traditional Arabic" w:hint="cs"/>
          <w:sz w:val="32"/>
          <w:szCs w:val="32"/>
          <w:rtl/>
        </w:rPr>
        <w:t xml:space="preserve"> </w:t>
      </w:r>
      <w:r w:rsidR="00037DEE">
        <w:rPr>
          <w:rFonts w:ascii="Traditional Arabic" w:hAnsi="Traditional Arabic" w:cs="Traditional Arabic" w:hint="cs"/>
          <w:sz w:val="32"/>
          <w:szCs w:val="32"/>
          <w:rtl/>
        </w:rPr>
        <w:t xml:space="preserve">النبشِ عن </w:t>
      </w:r>
      <w:r w:rsidR="0063620D">
        <w:rPr>
          <w:rFonts w:ascii="Traditional Arabic" w:hAnsi="Traditional Arabic" w:cs="Traditional Arabic" w:hint="cs"/>
          <w:sz w:val="32"/>
          <w:szCs w:val="32"/>
          <w:rtl/>
        </w:rPr>
        <w:t>مركزيَّتهِ البانيةِ</w:t>
      </w:r>
      <w:r w:rsidR="00037DEE">
        <w:rPr>
          <w:rFonts w:ascii="Traditional Arabic" w:hAnsi="Traditional Arabic" w:cs="Traditional Arabic" w:hint="cs"/>
          <w:sz w:val="32"/>
          <w:szCs w:val="32"/>
          <w:rtl/>
        </w:rPr>
        <w:t xml:space="preserve"> بتخريبِ أنساقِه</w:t>
      </w:r>
      <w:r w:rsidR="0063620D">
        <w:rPr>
          <w:rFonts w:ascii="Traditional Arabic" w:hAnsi="Traditional Arabic" w:cs="Traditional Arabic" w:hint="cs"/>
          <w:sz w:val="32"/>
          <w:szCs w:val="32"/>
          <w:rtl/>
        </w:rPr>
        <w:t xml:space="preserve"> الس</w:t>
      </w:r>
      <w:r w:rsidR="00050F3F">
        <w:rPr>
          <w:rFonts w:ascii="Traditional Arabic" w:hAnsi="Traditional Arabic" w:cs="Traditional Arabic" w:hint="cs"/>
          <w:sz w:val="32"/>
          <w:szCs w:val="32"/>
          <w:rtl/>
        </w:rPr>
        <w:t>ُّ</w:t>
      </w:r>
      <w:r w:rsidR="0063620D">
        <w:rPr>
          <w:rFonts w:ascii="Traditional Arabic" w:hAnsi="Traditional Arabic" w:cs="Traditional Arabic" w:hint="cs"/>
          <w:sz w:val="32"/>
          <w:szCs w:val="32"/>
          <w:rtl/>
        </w:rPr>
        <w:t>لطويَّة</w:t>
      </w:r>
      <w:r w:rsidR="00BE160B">
        <w:rPr>
          <w:rFonts w:ascii="Traditional Arabic" w:hAnsi="Traditional Arabic" w:cs="Traditional Arabic" w:hint="cs"/>
          <w:sz w:val="32"/>
          <w:szCs w:val="32"/>
          <w:rtl/>
        </w:rPr>
        <w:t>،</w:t>
      </w:r>
      <w:r w:rsidR="0063620D">
        <w:rPr>
          <w:rFonts w:ascii="Traditional Arabic" w:hAnsi="Traditional Arabic" w:cs="Traditional Arabic" w:hint="cs"/>
          <w:sz w:val="32"/>
          <w:szCs w:val="32"/>
          <w:rtl/>
        </w:rPr>
        <w:t xml:space="preserve"> ومحاولةِ استنهاض على أنقاضه قراءات</w:t>
      </w:r>
      <w:r w:rsidR="00A05B71">
        <w:rPr>
          <w:rFonts w:ascii="Traditional Arabic" w:hAnsi="Traditional Arabic" w:cs="Traditional Arabic" w:hint="cs"/>
          <w:sz w:val="32"/>
          <w:szCs w:val="32"/>
          <w:rtl/>
        </w:rPr>
        <w:t xml:space="preserve"> استِقصائيَّة </w:t>
      </w:r>
      <w:r w:rsidR="0063620D">
        <w:rPr>
          <w:rFonts w:ascii="Traditional Arabic" w:hAnsi="Traditional Arabic" w:cs="Traditional Arabic" w:hint="cs"/>
          <w:sz w:val="32"/>
          <w:szCs w:val="32"/>
          <w:rtl/>
        </w:rPr>
        <w:t>تلوذُ بالباطنِ المتعامى عنهُ</w:t>
      </w:r>
      <w:r w:rsidR="00CB1966">
        <w:rPr>
          <w:rFonts w:ascii="Traditional Arabic" w:hAnsi="Traditional Arabic" w:cs="Traditional Arabic" w:hint="cs"/>
          <w:sz w:val="32"/>
          <w:szCs w:val="32"/>
          <w:rtl/>
        </w:rPr>
        <w:t xml:space="preserve"> في الدِّراسةِ والتَّحليل</w:t>
      </w:r>
      <w:r w:rsidR="00392D59">
        <w:rPr>
          <w:rFonts w:ascii="Traditional Arabic" w:hAnsi="Traditional Arabic" w:cs="Traditional Arabic" w:hint="cs"/>
          <w:sz w:val="32"/>
          <w:szCs w:val="32"/>
          <w:rtl/>
        </w:rPr>
        <w:t>، وهذا</w:t>
      </w:r>
      <w:r w:rsidR="0063620D">
        <w:rPr>
          <w:rFonts w:ascii="Traditional Arabic" w:hAnsi="Traditional Arabic" w:cs="Traditional Arabic" w:hint="cs"/>
          <w:sz w:val="32"/>
          <w:szCs w:val="32"/>
          <w:rtl/>
        </w:rPr>
        <w:t xml:space="preserve"> لاقتضاءاتِ تاريخيَّة وسياسيَّة</w:t>
      </w:r>
      <w:r w:rsidR="001E6AD9">
        <w:rPr>
          <w:rFonts w:ascii="Traditional Arabic" w:hAnsi="Traditional Arabic" w:cs="Traditional Arabic" w:hint="cs"/>
          <w:sz w:val="32"/>
          <w:szCs w:val="32"/>
          <w:rtl/>
        </w:rPr>
        <w:t>،</w:t>
      </w:r>
      <w:r w:rsidR="0063620D">
        <w:rPr>
          <w:rFonts w:ascii="Traditional Arabic" w:hAnsi="Traditional Arabic" w:cs="Traditional Arabic" w:hint="cs"/>
          <w:sz w:val="32"/>
          <w:szCs w:val="32"/>
          <w:rtl/>
        </w:rPr>
        <w:t xml:space="preserve"> وتستعيضُ عن الظَّاهر </w:t>
      </w:r>
      <w:r w:rsidR="00BB113E">
        <w:rPr>
          <w:rFonts w:ascii="Traditional Arabic" w:hAnsi="Traditional Arabic" w:cs="Traditional Arabic" w:hint="cs"/>
          <w:sz w:val="32"/>
          <w:szCs w:val="32"/>
          <w:rtl/>
        </w:rPr>
        <w:t xml:space="preserve">الذي يُحالُ إليهِ عادةً بواسِطةِ سلسلةٍ من المجازاتِ اللغويَّة </w:t>
      </w:r>
      <w:r w:rsidR="00392D59">
        <w:rPr>
          <w:rFonts w:ascii="Traditional Arabic" w:hAnsi="Traditional Arabic" w:cs="Traditional Arabic" w:hint="cs"/>
          <w:sz w:val="32"/>
          <w:szCs w:val="32"/>
          <w:rtl/>
        </w:rPr>
        <w:t>المتساوقة،</w:t>
      </w:r>
      <w:r w:rsidR="00BB113E">
        <w:rPr>
          <w:rFonts w:ascii="Traditional Arabic" w:hAnsi="Traditional Arabic" w:cs="Traditional Arabic" w:hint="cs"/>
          <w:sz w:val="32"/>
          <w:szCs w:val="32"/>
          <w:rtl/>
        </w:rPr>
        <w:t xml:space="preserve"> الأصواتِ النغميَّة ذات الإيقاع المتصاعد،</w:t>
      </w:r>
      <w:r w:rsidR="00050F3F">
        <w:rPr>
          <w:rFonts w:ascii="Traditional Arabic" w:hAnsi="Traditional Arabic" w:cs="Traditional Arabic" w:hint="cs"/>
          <w:sz w:val="32"/>
          <w:szCs w:val="32"/>
          <w:rtl/>
        </w:rPr>
        <w:t xml:space="preserve"> بِالإضَافةِ إلى تلكَ</w:t>
      </w:r>
      <w:r w:rsidR="00BB113E">
        <w:rPr>
          <w:rFonts w:ascii="Traditional Arabic" w:hAnsi="Traditional Arabic" w:cs="Traditional Arabic" w:hint="cs"/>
          <w:sz w:val="32"/>
          <w:szCs w:val="32"/>
          <w:rtl/>
        </w:rPr>
        <w:t xml:space="preserve"> الأساليب التنميقيَّة </w:t>
      </w:r>
      <w:r w:rsidR="00392D59">
        <w:rPr>
          <w:rFonts w:ascii="Traditional Arabic" w:hAnsi="Traditional Arabic" w:cs="Traditional Arabic" w:hint="cs"/>
          <w:sz w:val="32"/>
          <w:szCs w:val="32"/>
          <w:rtl/>
        </w:rPr>
        <w:t>الموروثة</w:t>
      </w:r>
      <w:r w:rsidR="00050F3F">
        <w:rPr>
          <w:rFonts w:ascii="Traditional Arabic" w:hAnsi="Traditional Arabic" w:cs="Traditional Arabic" w:hint="cs"/>
          <w:sz w:val="32"/>
          <w:szCs w:val="32"/>
          <w:rtl/>
        </w:rPr>
        <w:t xml:space="preserve"> التي يُستعانُ بِها لتضخيمِ</w:t>
      </w:r>
      <w:r w:rsidR="00CB1966">
        <w:rPr>
          <w:rFonts w:ascii="Traditional Arabic" w:hAnsi="Traditional Arabic" w:cs="Traditional Arabic" w:hint="cs"/>
          <w:sz w:val="32"/>
          <w:szCs w:val="32"/>
          <w:rtl/>
        </w:rPr>
        <w:t xml:space="preserve"> بِنيَةِ</w:t>
      </w:r>
      <w:r w:rsidR="00050F3F">
        <w:rPr>
          <w:rFonts w:ascii="Traditional Arabic" w:hAnsi="Traditional Arabic" w:cs="Traditional Arabic" w:hint="cs"/>
          <w:sz w:val="32"/>
          <w:szCs w:val="32"/>
          <w:rtl/>
        </w:rPr>
        <w:t xml:space="preserve"> النَّصِ</w:t>
      </w:r>
      <w:r w:rsidR="00CB1966">
        <w:rPr>
          <w:rFonts w:ascii="Traditional Arabic" w:hAnsi="Traditional Arabic" w:cs="Traditional Arabic" w:hint="cs"/>
          <w:sz w:val="32"/>
          <w:szCs w:val="32"/>
          <w:rtl/>
        </w:rPr>
        <w:t>، وزيادةِ تأثيراتِهِ الشَّكليَّة.</w:t>
      </w:r>
    </w:p>
    <w:p w:rsidR="0014094E" w:rsidRPr="00BF6278" w:rsidRDefault="00BF6278" w:rsidP="00BF6278">
      <w:pPr>
        <w:jc w:val="center"/>
        <w:rPr>
          <w:rFonts w:ascii="Traditional Arabic" w:hAnsi="Traditional Arabic" w:cs="Traditional Arabic"/>
          <w:b/>
          <w:bCs/>
          <w:sz w:val="32"/>
          <w:szCs w:val="32"/>
          <w:u w:val="single"/>
          <w:rtl/>
        </w:rPr>
      </w:pPr>
      <w:r w:rsidRPr="00BF6278">
        <w:rPr>
          <w:rFonts w:ascii="Traditional Arabic" w:hAnsi="Traditional Arabic" w:cs="Traditional Arabic" w:hint="cs"/>
          <w:sz w:val="32"/>
          <w:szCs w:val="32"/>
          <w:u w:val="single"/>
          <w:rtl/>
        </w:rPr>
        <w:t>1/</w:t>
      </w:r>
      <w:r w:rsidR="0014094E" w:rsidRPr="00BF6278">
        <w:rPr>
          <w:rFonts w:ascii="Traditional Arabic" w:hAnsi="Traditional Arabic" w:cs="Traditional Arabic" w:hint="cs"/>
          <w:b/>
          <w:bCs/>
          <w:sz w:val="32"/>
          <w:szCs w:val="32"/>
          <w:u w:val="single"/>
          <w:rtl/>
        </w:rPr>
        <w:t>الشَّاهد بينَ الرَّافد المعجميِّ والس</w:t>
      </w:r>
      <w:r w:rsidR="00000B29" w:rsidRPr="00BF6278">
        <w:rPr>
          <w:rFonts w:ascii="Traditional Arabic" w:hAnsi="Traditional Arabic" w:cs="Traditional Arabic" w:hint="cs"/>
          <w:b/>
          <w:bCs/>
          <w:sz w:val="32"/>
          <w:szCs w:val="32"/>
          <w:u w:val="single"/>
          <w:rtl/>
        </w:rPr>
        <w:t>َّ</w:t>
      </w:r>
      <w:r w:rsidR="0014094E" w:rsidRPr="00BF6278">
        <w:rPr>
          <w:rFonts w:ascii="Traditional Arabic" w:hAnsi="Traditional Arabic" w:cs="Traditional Arabic" w:hint="cs"/>
          <w:b/>
          <w:bCs/>
          <w:sz w:val="32"/>
          <w:szCs w:val="32"/>
          <w:u w:val="single"/>
          <w:rtl/>
        </w:rPr>
        <w:t>نن الاصطلاحيِّ</w:t>
      </w:r>
    </w:p>
    <w:p w:rsidR="00392D59" w:rsidRDefault="00BB113E" w:rsidP="006A69B9">
      <w:pPr>
        <w:jc w:val="right"/>
        <w:rPr>
          <w:rFonts w:ascii="Traditional Arabic" w:hAnsi="Traditional Arabic" w:cs="Traditional Arabic"/>
          <w:sz w:val="32"/>
          <w:szCs w:val="32"/>
          <w:rtl/>
        </w:rPr>
      </w:pPr>
      <w:r>
        <w:rPr>
          <w:rFonts w:ascii="Traditional Arabic" w:hAnsi="Traditional Arabic" w:cs="Traditional Arabic" w:hint="cs"/>
          <w:sz w:val="32"/>
          <w:szCs w:val="32"/>
          <w:rtl/>
        </w:rPr>
        <w:t>والمتبصِّر في الأصولِ المعجميَّة</w:t>
      </w:r>
      <w:r w:rsidR="00AA14B1">
        <w:rPr>
          <w:rFonts w:ascii="Traditional Arabic" w:hAnsi="Traditional Arabic" w:cs="Traditional Arabic" w:hint="cs"/>
          <w:sz w:val="32"/>
          <w:szCs w:val="32"/>
          <w:rtl/>
        </w:rPr>
        <w:t xml:space="preserve"> لِكلمةِ </w:t>
      </w:r>
      <w:r>
        <w:rPr>
          <w:rFonts w:ascii="Traditional Arabic" w:hAnsi="Traditional Arabic" w:cs="Traditional Arabic" w:hint="cs"/>
          <w:sz w:val="32"/>
          <w:szCs w:val="32"/>
          <w:rtl/>
        </w:rPr>
        <w:t xml:space="preserve">الشَّاهدِ </w:t>
      </w:r>
      <w:r w:rsidR="00AA14B1">
        <w:rPr>
          <w:rFonts w:ascii="Traditional Arabic" w:hAnsi="Traditional Arabic" w:cs="Traditional Arabic" w:hint="cs"/>
          <w:sz w:val="32"/>
          <w:szCs w:val="32"/>
          <w:rtl/>
        </w:rPr>
        <w:t>سيرقبُ لا محالةَ بعضَ التوافقاتِ المنهجيَّة مع نظيرهِ الاصطلاحيِّ في الد</w:t>
      </w:r>
      <w:r w:rsidR="00D14FB1">
        <w:rPr>
          <w:rFonts w:ascii="Traditional Arabic" w:hAnsi="Traditional Arabic" w:cs="Traditional Arabic" w:hint="cs"/>
          <w:sz w:val="32"/>
          <w:szCs w:val="32"/>
          <w:rtl/>
        </w:rPr>
        <w:t>ِّ</w:t>
      </w:r>
      <w:r w:rsidR="00AA14B1">
        <w:rPr>
          <w:rFonts w:ascii="Traditional Arabic" w:hAnsi="Traditional Arabic" w:cs="Traditional Arabic" w:hint="cs"/>
          <w:sz w:val="32"/>
          <w:szCs w:val="32"/>
          <w:rtl/>
        </w:rPr>
        <w:t xml:space="preserve">راساتِ النقديَّةِ المُعاصرة، </w:t>
      </w:r>
      <w:r w:rsidR="00423367">
        <w:rPr>
          <w:rFonts w:ascii="Traditional Arabic" w:hAnsi="Traditional Arabic" w:cs="Traditional Arabic" w:hint="cs"/>
          <w:sz w:val="32"/>
          <w:szCs w:val="32"/>
          <w:rtl/>
        </w:rPr>
        <w:t>فالشاهدُ قد يغتدي مرادفًا لل</w:t>
      </w:r>
      <w:r w:rsidR="00BE160B">
        <w:rPr>
          <w:rFonts w:ascii="Traditional Arabic" w:hAnsi="Traditional Arabic" w:cs="Traditional Arabic" w:hint="cs"/>
          <w:sz w:val="32"/>
          <w:szCs w:val="32"/>
          <w:rtl/>
        </w:rPr>
        <w:t>ّ</w:t>
      </w:r>
      <w:r w:rsidR="00423367">
        <w:rPr>
          <w:rFonts w:ascii="Traditional Arabic" w:hAnsi="Traditional Arabic" w:cs="Traditional Arabic" w:hint="cs"/>
          <w:sz w:val="32"/>
          <w:szCs w:val="32"/>
          <w:rtl/>
        </w:rPr>
        <w:t xml:space="preserve">سانِ باقتراحِ الأزهريِّ فنقول: </w:t>
      </w:r>
      <w:r w:rsidR="00FA2F68">
        <w:rPr>
          <w:rFonts w:ascii="Traditional Arabic" w:hAnsi="Traditional Arabic" w:cs="Traditional Arabic" w:hint="cs"/>
          <w:sz w:val="32"/>
          <w:szCs w:val="32"/>
          <w:rtl/>
        </w:rPr>
        <w:t>"</w:t>
      </w:r>
      <w:r w:rsidR="00DF3933" w:rsidRPr="00DF3933">
        <w:rPr>
          <w:rFonts w:ascii="Traditional Arabic" w:hAnsi="Traditional Arabic" w:cs="Traditional Arabic" w:hint="cs"/>
          <w:sz w:val="32"/>
          <w:szCs w:val="32"/>
          <w:rtl/>
        </w:rPr>
        <w:t>لرجُلٍ أبانَ عن حُلوِ الكلامِ بأنَّهُ شاهد، أي طيِّبَ اللسانِ</w:t>
      </w:r>
      <w:r w:rsidR="009B63EE">
        <w:rPr>
          <w:rStyle w:val="Appelnotedebasdep"/>
          <w:rFonts w:ascii="Traditional Arabic" w:hAnsi="Traditional Arabic" w:cs="Traditional Arabic"/>
          <w:sz w:val="32"/>
          <w:szCs w:val="32"/>
          <w:rtl/>
        </w:rPr>
        <w:footnoteReference w:id="1"/>
      </w:r>
      <w:r w:rsidR="00FA2F68">
        <w:rPr>
          <w:rFonts w:ascii="Traditional Arabic" w:hAnsi="Traditional Arabic" w:cs="Traditional Arabic" w:hint="cs"/>
          <w:sz w:val="32"/>
          <w:szCs w:val="32"/>
          <w:rtl/>
        </w:rPr>
        <w:t>"</w:t>
      </w:r>
      <w:r w:rsidR="00DF3933">
        <w:rPr>
          <w:rFonts w:ascii="Traditional Arabic" w:hAnsi="Traditional Arabic" w:cs="Traditional Arabic" w:hint="cs"/>
          <w:sz w:val="32"/>
          <w:szCs w:val="32"/>
          <w:rtl/>
        </w:rPr>
        <w:t>،</w:t>
      </w:r>
      <w:r w:rsidR="00392D59">
        <w:rPr>
          <w:rFonts w:ascii="Traditional Arabic" w:hAnsi="Traditional Arabic" w:cs="Traditional Arabic" w:hint="cs"/>
          <w:sz w:val="32"/>
          <w:szCs w:val="32"/>
          <w:rtl/>
        </w:rPr>
        <w:t xml:space="preserve"> في حينَ تتسِّعُ دلالةُ اللَّفظةِ عندَ ابن فارسٍ لتشملَ ثلاثة مفاهيم رئيس</w:t>
      </w:r>
      <w:r w:rsidR="00840E9D">
        <w:rPr>
          <w:rFonts w:ascii="Traditional Arabic" w:hAnsi="Traditional Arabic" w:cs="Traditional Arabic" w:hint="cs"/>
          <w:sz w:val="32"/>
          <w:szCs w:val="32"/>
          <w:rtl/>
        </w:rPr>
        <w:t>يَّ</w:t>
      </w:r>
      <w:r w:rsidR="00392D59">
        <w:rPr>
          <w:rFonts w:ascii="Traditional Arabic" w:hAnsi="Traditional Arabic" w:cs="Traditional Arabic" w:hint="cs"/>
          <w:sz w:val="32"/>
          <w:szCs w:val="32"/>
          <w:rtl/>
        </w:rPr>
        <w:t>ة، و</w:t>
      </w:r>
      <w:r w:rsidR="006A69B9">
        <w:rPr>
          <w:rFonts w:ascii="Traditional Arabic" w:hAnsi="Traditional Arabic" w:cs="Traditional Arabic" w:hint="cs"/>
          <w:sz w:val="32"/>
          <w:szCs w:val="32"/>
          <w:rtl/>
        </w:rPr>
        <w:t xml:space="preserve"> بِالتَّالي</w:t>
      </w:r>
      <w:r w:rsidR="00392D59">
        <w:rPr>
          <w:rFonts w:ascii="Traditional Arabic" w:hAnsi="Traditional Arabic" w:cs="Traditional Arabic" w:hint="cs"/>
          <w:sz w:val="32"/>
          <w:szCs w:val="32"/>
          <w:rtl/>
        </w:rPr>
        <w:t xml:space="preserve"> ن</w:t>
      </w:r>
      <w:r w:rsidR="006A69B9">
        <w:rPr>
          <w:rFonts w:ascii="Traditional Arabic" w:hAnsi="Traditional Arabic" w:cs="Traditional Arabic" w:hint="cs"/>
          <w:sz w:val="32"/>
          <w:szCs w:val="32"/>
          <w:rtl/>
        </w:rPr>
        <w:t>ُ</w:t>
      </w:r>
      <w:r w:rsidR="00392D59">
        <w:rPr>
          <w:rFonts w:ascii="Traditional Arabic" w:hAnsi="Traditional Arabic" w:cs="Traditional Arabic" w:hint="cs"/>
          <w:sz w:val="32"/>
          <w:szCs w:val="32"/>
          <w:rtl/>
        </w:rPr>
        <w:t xml:space="preserve">لفيه يقول: </w:t>
      </w:r>
      <w:r w:rsidR="009B63EE">
        <w:rPr>
          <w:rFonts w:ascii="Traditional Arabic" w:hAnsi="Traditional Arabic" w:cs="Traditional Arabic" w:hint="cs"/>
          <w:sz w:val="32"/>
          <w:szCs w:val="32"/>
          <w:rtl/>
        </w:rPr>
        <w:t>"</w:t>
      </w:r>
      <w:r w:rsidR="00392D59">
        <w:rPr>
          <w:rFonts w:ascii="Traditional Arabic" w:hAnsi="Traditional Arabic" w:cs="Traditional Arabic" w:hint="cs"/>
          <w:sz w:val="32"/>
          <w:szCs w:val="32"/>
          <w:rtl/>
        </w:rPr>
        <w:t>والشين والهاءُ والدَّالُ أصلٌ يدُلُّ على حضورٍ وعلمٍ وإعلام</w:t>
      </w:r>
      <w:r w:rsidR="009B63EE">
        <w:rPr>
          <w:rFonts w:ascii="Traditional Arabic" w:hAnsi="Traditional Arabic" w:cs="Traditional Arabic" w:hint="cs"/>
          <w:sz w:val="32"/>
          <w:szCs w:val="32"/>
          <w:rtl/>
        </w:rPr>
        <w:t>"</w:t>
      </w:r>
      <w:r w:rsidR="009B63EE">
        <w:rPr>
          <w:rStyle w:val="Appelnotedebasdep"/>
          <w:rFonts w:ascii="Traditional Arabic" w:hAnsi="Traditional Arabic" w:cs="Traditional Arabic"/>
          <w:sz w:val="32"/>
          <w:szCs w:val="32"/>
          <w:rtl/>
        </w:rPr>
        <w:footnoteReference w:id="2"/>
      </w:r>
      <w:r w:rsidR="00392D59">
        <w:rPr>
          <w:rFonts w:ascii="Traditional Arabic" w:hAnsi="Traditional Arabic" w:cs="Traditional Arabic" w:hint="cs"/>
          <w:sz w:val="32"/>
          <w:szCs w:val="32"/>
          <w:rtl/>
        </w:rPr>
        <w:t>.</w:t>
      </w:r>
    </w:p>
    <w:p w:rsidR="001A4997" w:rsidRDefault="00392D59" w:rsidP="001A4997">
      <w:pPr>
        <w:jc w:val="right"/>
        <w:rPr>
          <w:rFonts w:ascii="Traditional Arabic" w:hAnsi="Traditional Arabic" w:cs="Traditional Arabic"/>
          <w:sz w:val="32"/>
          <w:szCs w:val="32"/>
          <w:rtl/>
        </w:rPr>
      </w:pPr>
      <w:r>
        <w:rPr>
          <w:rFonts w:ascii="Traditional Arabic" w:hAnsi="Traditional Arabic" w:cs="Traditional Arabic" w:hint="cs"/>
          <w:sz w:val="32"/>
          <w:szCs w:val="32"/>
          <w:rtl/>
        </w:rPr>
        <w:t>أي أنَّ اللفظة</w:t>
      </w:r>
      <w:r w:rsidR="001A4997">
        <w:rPr>
          <w:rFonts w:ascii="Traditional Arabic" w:hAnsi="Traditional Arabic" w:cs="Traditional Arabic" w:hint="cs"/>
          <w:sz w:val="32"/>
          <w:szCs w:val="32"/>
          <w:rtl/>
        </w:rPr>
        <w:t xml:space="preserve"> بأبعادهَا الثلاثيَّة هيَ ضدَّ الغيابِ والاحتِجابِ والاختِفاء.</w:t>
      </w:r>
    </w:p>
    <w:p w:rsidR="00FA2F68" w:rsidRDefault="001A4997" w:rsidP="00050F3F">
      <w:pPr>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ولا مندوحَة أن تُذكر لفظةُ الشاهِدِ في آيِّ القرآن الكريم</w:t>
      </w:r>
      <w:r w:rsidR="00840E9D">
        <w:rPr>
          <w:rFonts w:ascii="Traditional Arabic" w:hAnsi="Traditional Arabic" w:cs="Traditional Arabic" w:hint="cs"/>
          <w:sz w:val="32"/>
          <w:szCs w:val="32"/>
          <w:rtl/>
        </w:rPr>
        <w:t xml:space="preserve">، بصيغٍ صرفيَّة متنوِّعة، ذلِكَ أنَّهَا تُؤشِّرُ في مُعظَمِهَا على المُعاينةِ البصريَّة لكراماتِ الأنبيَاء والرُّسلِ والتَّصديقِ عليهَا كَحُجَةِ دامِغة تطردُ الشُّكوكَ وتزيلَ الحيرةَ عَنِ المؤمنينَ من ذلكَ قول الله تعالى </w:t>
      </w:r>
      <w:r w:rsidR="00527C03">
        <w:rPr>
          <w:rFonts w:ascii="Traditional Arabic" w:hAnsi="Traditional Arabic" w:cs="Traditional Arabic" w:hint="cs"/>
          <w:sz w:val="32"/>
          <w:szCs w:val="32"/>
          <w:rtl/>
        </w:rPr>
        <w:t>من سورةِ آل عمران</w:t>
      </w:r>
      <w:r w:rsidR="00050F3F">
        <w:rPr>
          <w:rFonts w:ascii="Traditional Arabic" w:hAnsi="Traditional Arabic" w:cs="Traditional Arabic" w:hint="cs"/>
          <w:sz w:val="32"/>
          <w:szCs w:val="32"/>
          <w:rtl/>
        </w:rPr>
        <w:t>:</w:t>
      </w:r>
    </w:p>
    <w:p w:rsidR="00050F3F" w:rsidRDefault="00050F3F" w:rsidP="00050F3F">
      <w:pPr>
        <w:jc w:val="right"/>
        <w:rPr>
          <w:rFonts w:ascii="Traditional Arabic" w:hAnsi="Traditional Arabic" w:cs="Traditional Arabic"/>
          <w:sz w:val="32"/>
          <w:szCs w:val="32"/>
          <w:rtl/>
        </w:rPr>
      </w:pPr>
      <w:r w:rsidRPr="00050F3F">
        <w:rPr>
          <w:rFonts w:ascii="Traditional Arabic" w:hAnsi="Traditional Arabic" w:cs="Traditional Arabic"/>
          <w:color w:val="222222"/>
          <w:sz w:val="26"/>
          <w:szCs w:val="26"/>
          <w:shd w:val="clear" w:color="auto" w:fill="F9F9FF"/>
          <w:rtl/>
        </w:rPr>
        <w:t xml:space="preserve"> </w:t>
      </w:r>
      <w:r w:rsidRPr="00050F3F">
        <w:rPr>
          <w:rFonts w:ascii="Traditional Arabic" w:hAnsi="Traditional Arabic" w:cs="Traditional Arabic"/>
          <w:b/>
          <w:bCs/>
          <w:sz w:val="32"/>
          <w:szCs w:val="32"/>
          <w:rtl/>
        </w:rPr>
        <w:t>﴿</w:t>
      </w:r>
      <w:hyperlink r:id="rId7" w:history="1">
        <w:r w:rsidRPr="00050F3F">
          <w:rPr>
            <w:rStyle w:val="Lienhypertexte"/>
            <w:rFonts w:ascii="Traditional Arabic" w:hAnsi="Traditional Arabic" w:cs="Traditional Arabic"/>
            <w:b/>
            <w:bCs/>
            <w:color w:val="auto"/>
            <w:sz w:val="32"/>
            <w:szCs w:val="32"/>
            <w:u w:val="none"/>
            <w:rtl/>
          </w:rPr>
          <w:t>رَبَّنَا آمَنَّا بِمَا أَنْزَلْتَ وَاتَّبَعْنَا الرَّسُولَ فَاكْتُبْنَا مَعَ الشَّاهِدِينَ</w:t>
        </w:r>
      </w:hyperlink>
      <w:r w:rsidRPr="00050F3F">
        <w:rPr>
          <w:rFonts w:ascii="Traditional Arabic" w:hAnsi="Traditional Arabic" w:cs="Traditional Arabic"/>
          <w:sz w:val="32"/>
          <w:szCs w:val="32"/>
          <w:rtl/>
        </w:rPr>
        <w:t>﴾</w:t>
      </w:r>
      <w:r w:rsidR="00FA2F68">
        <w:rPr>
          <w:rFonts w:ascii="Traditional Arabic" w:hAnsi="Traditional Arabic" w:cs="Traditional Arabic" w:hint="cs"/>
          <w:sz w:val="32"/>
          <w:szCs w:val="32"/>
          <w:rtl/>
        </w:rPr>
        <w:t xml:space="preserve"> سورة آل عمران، الآية رقم:53</w:t>
      </w:r>
    </w:p>
    <w:p w:rsidR="00D14FB1" w:rsidRDefault="00050F3F" w:rsidP="00EF2246">
      <w:pPr>
        <w:jc w:val="right"/>
        <w:rPr>
          <w:rFonts w:ascii="Traditional Arabic" w:hAnsi="Traditional Arabic" w:cs="Traditional Arabic"/>
          <w:b/>
          <w:bCs/>
          <w:sz w:val="32"/>
          <w:szCs w:val="32"/>
          <w:rtl/>
        </w:rPr>
      </w:pPr>
      <w:r>
        <w:rPr>
          <w:rFonts w:ascii="Traditional Arabic" w:hAnsi="Traditional Arabic" w:cs="Traditional Arabic" w:hint="cs"/>
          <w:sz w:val="32"/>
          <w:szCs w:val="32"/>
          <w:rtl/>
        </w:rPr>
        <w:t>أيِّ أنَّ الآيةِ هي إقرارٌ من لدنِ المؤمنينَ بأنَّهم صادقوا عيسى عليهِ السَّلام، وائتمن</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وا رسالتَهُ، وتواضَعوا على دلائِلِ نبوَّتِهِ، وقد يكونُ </w:t>
      </w:r>
      <w:r w:rsidR="00CB1966">
        <w:rPr>
          <w:rFonts w:ascii="Traditional Arabic" w:hAnsi="Traditional Arabic" w:cs="Traditional Arabic" w:hint="cs"/>
          <w:sz w:val="32"/>
          <w:szCs w:val="32"/>
          <w:rtl/>
        </w:rPr>
        <w:t>الشَّاهِدُ دليلًا</w:t>
      </w:r>
      <w:r>
        <w:rPr>
          <w:rFonts w:ascii="Traditional Arabic" w:hAnsi="Traditional Arabic" w:cs="Traditional Arabic" w:hint="cs"/>
          <w:sz w:val="32"/>
          <w:szCs w:val="32"/>
          <w:rtl/>
        </w:rPr>
        <w:t xml:space="preserve"> مضادًا لأولئكَ الذينَ</w:t>
      </w:r>
      <w:r w:rsidR="00CB1966">
        <w:rPr>
          <w:rFonts w:ascii="Traditional Arabic" w:hAnsi="Traditional Arabic" w:cs="Traditional Arabic" w:hint="cs"/>
          <w:sz w:val="32"/>
          <w:szCs w:val="32"/>
          <w:rtl/>
        </w:rPr>
        <w:t xml:space="preserve"> </w:t>
      </w:r>
      <w:r w:rsidR="00D14FB1">
        <w:rPr>
          <w:rFonts w:ascii="Traditional Arabic" w:hAnsi="Traditional Arabic" w:cs="Traditional Arabic" w:hint="cs"/>
          <w:sz w:val="32"/>
          <w:szCs w:val="32"/>
          <w:rtl/>
        </w:rPr>
        <w:t>التمس</w:t>
      </w:r>
      <w:r w:rsidR="00BE160B">
        <w:rPr>
          <w:rFonts w:ascii="Traditional Arabic" w:hAnsi="Traditional Arabic" w:cs="Traditional Arabic" w:hint="cs"/>
          <w:sz w:val="32"/>
          <w:szCs w:val="32"/>
          <w:rtl/>
        </w:rPr>
        <w:t>ُ</w:t>
      </w:r>
      <w:r w:rsidR="00D14FB1">
        <w:rPr>
          <w:rFonts w:ascii="Traditional Arabic" w:hAnsi="Traditional Arabic" w:cs="Traditional Arabic" w:hint="cs"/>
          <w:sz w:val="32"/>
          <w:szCs w:val="32"/>
          <w:rtl/>
        </w:rPr>
        <w:t>وا حُجيَّة النبوَّةِ وتراءت لهم علاماتُها</w:t>
      </w:r>
      <w:r w:rsidR="00EA71C5">
        <w:rPr>
          <w:rFonts w:ascii="Traditional Arabic" w:hAnsi="Traditional Arabic" w:cs="Traditional Arabic" w:hint="cs"/>
          <w:sz w:val="32"/>
          <w:szCs w:val="32"/>
          <w:rtl/>
        </w:rPr>
        <w:t xml:space="preserve"> المُنجيةِ،</w:t>
      </w:r>
      <w:r w:rsidR="00D14FB1">
        <w:rPr>
          <w:rFonts w:ascii="Traditional Arabic" w:hAnsi="Traditional Arabic" w:cs="Traditional Arabic" w:hint="cs"/>
          <w:sz w:val="32"/>
          <w:szCs w:val="32"/>
          <w:rtl/>
        </w:rPr>
        <w:t xml:space="preserve"> لكنَّهم كانوا لها</w:t>
      </w:r>
      <w:r w:rsidR="00A5714F">
        <w:rPr>
          <w:rFonts w:ascii="Traditional Arabic" w:hAnsi="Traditional Arabic" w:cs="Traditional Arabic" w:hint="cs"/>
          <w:sz w:val="32"/>
          <w:szCs w:val="32"/>
          <w:rtl/>
        </w:rPr>
        <w:t xml:space="preserve"> مِنَ</w:t>
      </w:r>
      <w:r w:rsidR="00D14FB1">
        <w:rPr>
          <w:rFonts w:ascii="Traditional Arabic" w:hAnsi="Traditional Arabic" w:cs="Traditional Arabic" w:hint="cs"/>
          <w:sz w:val="32"/>
          <w:szCs w:val="32"/>
          <w:rtl/>
        </w:rPr>
        <w:t xml:space="preserve"> </w:t>
      </w:r>
      <w:r w:rsidR="00A5714F">
        <w:rPr>
          <w:rFonts w:ascii="Traditional Arabic" w:hAnsi="Traditional Arabic" w:cs="Traditional Arabic" w:hint="cs"/>
          <w:sz w:val="32"/>
          <w:szCs w:val="32"/>
          <w:rtl/>
        </w:rPr>
        <w:t>ال</w:t>
      </w:r>
      <w:r w:rsidR="00D14FB1">
        <w:rPr>
          <w:rFonts w:ascii="Traditional Arabic" w:hAnsi="Traditional Arabic" w:cs="Traditional Arabic" w:hint="cs"/>
          <w:sz w:val="32"/>
          <w:szCs w:val="32"/>
          <w:rtl/>
        </w:rPr>
        <w:t>جَاحِدين</w:t>
      </w:r>
      <w:r w:rsidR="006A69B9">
        <w:rPr>
          <w:rFonts w:ascii="Traditional Arabic" w:hAnsi="Traditional Arabic" w:cs="Traditional Arabic" w:hint="cs"/>
          <w:sz w:val="32"/>
          <w:szCs w:val="32"/>
          <w:rtl/>
        </w:rPr>
        <w:t>،</w:t>
      </w:r>
      <w:r w:rsidR="00D14FB1">
        <w:rPr>
          <w:rFonts w:ascii="Traditional Arabic" w:hAnsi="Traditional Arabic" w:cs="Traditional Arabic" w:hint="cs"/>
          <w:sz w:val="32"/>
          <w:szCs w:val="32"/>
          <w:rtl/>
        </w:rPr>
        <w:t xml:space="preserve"> وهو مَا نَستَظهرهُ من سياقِ الآية التاليةِ: </w:t>
      </w:r>
      <w:r w:rsidR="00D14FB1" w:rsidRPr="00D14FB1">
        <w:rPr>
          <w:rFonts w:ascii="Traditional Arabic" w:hAnsi="Traditional Arabic" w:cs="Traditional Arabic" w:hint="cs"/>
          <w:sz w:val="32"/>
          <w:szCs w:val="32"/>
          <w:rtl/>
        </w:rPr>
        <w:t>﴿</w:t>
      </w:r>
      <w:r w:rsidR="00D14FB1" w:rsidRPr="00D14FB1">
        <w:rPr>
          <w:rFonts w:ascii="Traditional Arabic" w:hAnsi="Traditional Arabic" w:cs="Traditional Arabic" w:hint="cs"/>
          <w:b/>
          <w:bCs/>
          <w:sz w:val="32"/>
          <w:szCs w:val="32"/>
          <w:rtl/>
        </w:rPr>
        <w:t>يَا</w:t>
      </w:r>
      <w:r w:rsidR="00D14FB1" w:rsidRPr="00D14FB1">
        <w:rPr>
          <w:rFonts w:ascii="Traditional Arabic" w:hAnsi="Traditional Arabic" w:cs="Traditional Arabic"/>
          <w:b/>
          <w:bCs/>
          <w:sz w:val="32"/>
          <w:szCs w:val="32"/>
          <w:rtl/>
        </w:rPr>
        <w:t xml:space="preserve"> أَهْلَ الْكِتَابِ لِمَ تَكْفُرُونَ بِآيَاتِ اللَّهِ وَأَنتُمْ تَشْهَدُونَ﴾</w:t>
      </w:r>
      <w:r w:rsidR="00FA2F68" w:rsidRPr="00EF2246">
        <w:rPr>
          <w:rFonts w:ascii="Traditional Arabic" w:hAnsi="Traditional Arabic" w:cs="Traditional Arabic" w:hint="cs"/>
          <w:b/>
          <w:bCs/>
          <w:sz w:val="32"/>
          <w:szCs w:val="32"/>
          <w:rtl/>
        </w:rPr>
        <w:t xml:space="preserve"> </w:t>
      </w:r>
      <w:r w:rsidR="00FA2F68" w:rsidRPr="00EF2246">
        <w:rPr>
          <w:rFonts w:ascii="Traditional Arabic" w:hAnsi="Traditional Arabic" w:cs="Traditional Arabic" w:hint="cs"/>
          <w:sz w:val="32"/>
          <w:szCs w:val="32"/>
          <w:rtl/>
        </w:rPr>
        <w:t>سورة آل عمران، الآية رقم:</w:t>
      </w:r>
      <w:r w:rsidR="00EF2246" w:rsidRPr="00EF2246">
        <w:rPr>
          <w:rFonts w:ascii="Traditional Arabic" w:hAnsi="Traditional Arabic" w:cs="Traditional Arabic" w:hint="cs"/>
          <w:sz w:val="32"/>
          <w:szCs w:val="32"/>
          <w:rtl/>
        </w:rPr>
        <w:t>70</w:t>
      </w:r>
      <w:r w:rsidR="00EF2246">
        <w:rPr>
          <w:rFonts w:ascii="Traditional Arabic" w:hAnsi="Traditional Arabic" w:cs="Traditional Arabic" w:hint="cs"/>
          <w:b/>
          <w:bCs/>
          <w:sz w:val="32"/>
          <w:szCs w:val="32"/>
          <w:rtl/>
        </w:rPr>
        <w:t>.</w:t>
      </w:r>
      <w:r w:rsidR="00FA2F68" w:rsidRPr="00EF2246">
        <w:rPr>
          <w:rFonts w:ascii="Traditional Arabic" w:hAnsi="Traditional Arabic" w:cs="Traditional Arabic" w:hint="cs"/>
          <w:b/>
          <w:bCs/>
          <w:sz w:val="32"/>
          <w:szCs w:val="32"/>
          <w:rtl/>
        </w:rPr>
        <w:t xml:space="preserve"> </w:t>
      </w:r>
      <w:r w:rsidR="00EF2246" w:rsidRPr="00EF2246">
        <w:rPr>
          <w:rFonts w:ascii="Traditional Arabic" w:hAnsi="Traditional Arabic" w:cs="Traditional Arabic" w:hint="cs"/>
          <w:b/>
          <w:bCs/>
          <w:sz w:val="32"/>
          <w:szCs w:val="32"/>
          <w:rtl/>
        </w:rPr>
        <w:t xml:space="preserve">   </w:t>
      </w:r>
    </w:p>
    <w:p w:rsidR="00AD436C" w:rsidRDefault="00AD436C" w:rsidP="00A5714F">
      <w:pPr>
        <w:jc w:val="right"/>
        <w:rPr>
          <w:rFonts w:ascii="Traditional Arabic" w:hAnsi="Traditional Arabic" w:cs="Traditional Arabic"/>
          <w:sz w:val="32"/>
          <w:szCs w:val="32"/>
          <w:rtl/>
        </w:rPr>
      </w:pPr>
      <w:r w:rsidRPr="00AD436C">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ؤكدُ البِنيَةُ الخطابيَّة "أنتم تَشهَدون" عَلى وجودِ </w:t>
      </w:r>
      <w:r w:rsidR="00A5714F">
        <w:rPr>
          <w:rFonts w:ascii="Traditional Arabic" w:hAnsi="Traditional Arabic" w:cs="Traditional Arabic" w:hint="cs"/>
          <w:sz w:val="32"/>
          <w:szCs w:val="32"/>
          <w:rtl/>
        </w:rPr>
        <w:t>إ</w:t>
      </w:r>
      <w:r>
        <w:rPr>
          <w:rFonts w:ascii="Traditional Arabic" w:hAnsi="Traditional Arabic" w:cs="Traditional Arabic" w:hint="cs"/>
          <w:sz w:val="32"/>
          <w:szCs w:val="32"/>
          <w:rtl/>
        </w:rPr>
        <w:t>نكار</w:t>
      </w:r>
      <w:r w:rsidR="00A5714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علنيِّ لآياتِ الله الكونيَّة معَ</w:t>
      </w:r>
      <w:r w:rsidR="00A5714F">
        <w:rPr>
          <w:rFonts w:ascii="Traditional Arabic" w:hAnsi="Traditional Arabic" w:cs="Traditional Arabic" w:hint="cs"/>
          <w:sz w:val="32"/>
          <w:szCs w:val="32"/>
          <w:rtl/>
        </w:rPr>
        <w:t xml:space="preserve"> أنَّ المخصوصينَ </w:t>
      </w:r>
      <w:r>
        <w:rPr>
          <w:rFonts w:ascii="Traditional Arabic" w:hAnsi="Traditional Arabic" w:cs="Traditional Arabic" w:hint="cs"/>
          <w:sz w:val="32"/>
          <w:szCs w:val="32"/>
          <w:rtl/>
        </w:rPr>
        <w:t>بِالخِطاب وهم المشركون والكفَّار يعلمون صِدقَهَا ويَتحقَّقونَ حقَّها</w:t>
      </w:r>
      <w:r w:rsidR="00A5714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لكنَّهم يتعمَّدون طمسَها استجابةً لأهوائِهم المارقَة</w:t>
      </w:r>
      <w:r w:rsidR="00190FC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حدودِ الله.</w:t>
      </w:r>
    </w:p>
    <w:p w:rsidR="00BF64A5" w:rsidRDefault="00450A43" w:rsidP="00BF64A5">
      <w:pPr>
        <w:jc w:val="right"/>
        <w:rPr>
          <w:rFonts w:ascii="Traditional Arabic" w:hAnsi="Traditional Arabic" w:cs="Traditional Arabic"/>
          <w:sz w:val="32"/>
          <w:szCs w:val="32"/>
          <w:rtl/>
        </w:rPr>
      </w:pPr>
      <w:r>
        <w:rPr>
          <w:rFonts w:ascii="Traditional Arabic" w:hAnsi="Traditional Arabic" w:cs="Traditional Arabic" w:hint="cs"/>
          <w:sz w:val="32"/>
          <w:szCs w:val="32"/>
          <w:rtl/>
        </w:rPr>
        <w:t>يستوفي</w:t>
      </w:r>
      <w:r w:rsidR="00BF64A5">
        <w:rPr>
          <w:rFonts w:ascii="Traditional Arabic" w:hAnsi="Traditional Arabic" w:cs="Traditional Arabic" w:hint="cs"/>
          <w:sz w:val="32"/>
          <w:szCs w:val="32"/>
          <w:rtl/>
        </w:rPr>
        <w:t>ِّ الشاهدٌ أيضا صِّيغتينِ مقدَّستينِ،</w:t>
      </w:r>
      <w:r>
        <w:rPr>
          <w:rFonts w:ascii="Traditional Arabic" w:hAnsi="Traditional Arabic" w:cs="Traditional Arabic" w:hint="cs"/>
          <w:sz w:val="32"/>
          <w:szCs w:val="32"/>
          <w:rtl/>
        </w:rPr>
        <w:t xml:space="preserve"> </w:t>
      </w:r>
      <w:r w:rsidR="00BF64A5">
        <w:rPr>
          <w:rFonts w:ascii="Traditional Arabic" w:hAnsi="Traditional Arabic" w:cs="Traditional Arabic" w:hint="cs"/>
          <w:sz w:val="32"/>
          <w:szCs w:val="32"/>
          <w:rtl/>
        </w:rPr>
        <w:t>وفضاءين مُتخَمي</w:t>
      </w:r>
      <w:r w:rsidR="00D25926">
        <w:rPr>
          <w:rFonts w:ascii="Traditional Arabic" w:hAnsi="Traditional Arabic" w:cs="Traditional Arabic" w:hint="cs"/>
          <w:sz w:val="32"/>
          <w:szCs w:val="32"/>
          <w:rtl/>
        </w:rPr>
        <w:t>ِّ</w:t>
      </w:r>
      <w:r w:rsidR="00BF64A5">
        <w:rPr>
          <w:rFonts w:ascii="Traditional Arabic" w:hAnsi="Traditional Arabic" w:cs="Traditional Arabic" w:hint="cs"/>
          <w:sz w:val="32"/>
          <w:szCs w:val="32"/>
          <w:rtl/>
        </w:rPr>
        <w:t xml:space="preserve">ن </w:t>
      </w:r>
      <w:r>
        <w:rPr>
          <w:rFonts w:ascii="Traditional Arabic" w:hAnsi="Traditional Arabic" w:cs="Traditional Arabic" w:hint="cs"/>
          <w:sz w:val="32"/>
          <w:szCs w:val="32"/>
          <w:rtl/>
        </w:rPr>
        <w:t>بالرمزيَّة الإسلاميَّة</w:t>
      </w:r>
      <w:r w:rsidR="005B6128">
        <w:rPr>
          <w:rFonts w:ascii="Traditional Arabic" w:hAnsi="Traditional Arabic" w:cs="Traditional Arabic" w:hint="cs"/>
          <w:sz w:val="32"/>
          <w:szCs w:val="32"/>
          <w:rtl/>
        </w:rPr>
        <w:t xml:space="preserve"> والطُّهر الدِّينيِّ</w:t>
      </w:r>
      <w:r w:rsidR="00D2592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وهو مَا تبوءُ بهِ الآية</w:t>
      </w:r>
      <w:r w:rsidR="005B6128">
        <w:rPr>
          <w:rFonts w:ascii="Traditional Arabic" w:hAnsi="Traditional Arabic" w:cs="Traditional Arabic" w:hint="cs"/>
          <w:sz w:val="32"/>
          <w:szCs w:val="32"/>
          <w:rtl/>
        </w:rPr>
        <w:t xml:space="preserve"> الثالثة من سورةِ البُروج: </w:t>
      </w:r>
      <w:r w:rsidR="005B6128" w:rsidRPr="005B6128">
        <w:rPr>
          <w:rFonts w:ascii="Traditional Arabic" w:hAnsi="Traditional Arabic" w:cs="Traditional Arabic" w:hint="cs"/>
          <w:b/>
          <w:bCs/>
          <w:sz w:val="32"/>
          <w:szCs w:val="32"/>
          <w:rtl/>
        </w:rPr>
        <w:t>{وشاهِدٍ ومشهودٍ}</w:t>
      </w:r>
      <w:r w:rsidR="00BF64A5">
        <w:rPr>
          <w:rFonts w:ascii="Traditional Arabic" w:hAnsi="Traditional Arabic" w:cs="Traditional Arabic" w:hint="cs"/>
          <w:b/>
          <w:bCs/>
          <w:sz w:val="32"/>
          <w:szCs w:val="32"/>
          <w:rtl/>
        </w:rPr>
        <w:t>.</w:t>
      </w:r>
      <w:r w:rsidR="005B6128">
        <w:rPr>
          <w:rFonts w:ascii="Traditional Arabic" w:hAnsi="Traditional Arabic" w:cs="Traditional Arabic" w:hint="cs"/>
          <w:sz w:val="32"/>
          <w:szCs w:val="32"/>
          <w:rtl/>
        </w:rPr>
        <w:t xml:space="preserve"> </w:t>
      </w:r>
    </w:p>
    <w:p w:rsidR="00D14FB1" w:rsidRDefault="005B6128" w:rsidP="00BF64A5">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جَاء في تفسير الطَّبريِّ </w:t>
      </w:r>
      <w:r w:rsidR="00EF22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أنَّ الشَّاهد هو يومُ الجمعة، والمشهودُ هو يوم </w:t>
      </w:r>
      <w:r w:rsidR="00EF2246">
        <w:rPr>
          <w:rFonts w:ascii="Traditional Arabic" w:hAnsi="Traditional Arabic" w:cs="Traditional Arabic" w:hint="cs"/>
          <w:sz w:val="32"/>
          <w:szCs w:val="32"/>
          <w:rtl/>
        </w:rPr>
        <w:t>عرفة</w:t>
      </w:r>
      <w:r w:rsidR="00750C02">
        <w:rPr>
          <w:rFonts w:ascii="Traditional Arabic" w:hAnsi="Traditional Arabic" w:cs="Traditional Arabic" w:hint="cs"/>
          <w:sz w:val="32"/>
          <w:szCs w:val="32"/>
          <w:rtl/>
        </w:rPr>
        <w:t>"</w:t>
      </w:r>
      <w:r w:rsidR="00EF2246">
        <w:rPr>
          <w:rStyle w:val="Appelnotedebasdep"/>
          <w:rFonts w:ascii="Traditional Arabic" w:hAnsi="Traditional Arabic" w:cs="Traditional Arabic"/>
          <w:sz w:val="32"/>
          <w:szCs w:val="32"/>
          <w:rtl/>
        </w:rPr>
        <w:footnoteReference w:id="3"/>
      </w:r>
      <w:r w:rsidR="00EF224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Pr>
          <w:rFonts w:ascii="Traditional Arabic" w:hAnsi="Traditional Arabic" w:cs="Traditional Arabic" w:hint="cs"/>
          <w:b/>
          <w:bCs/>
          <w:sz w:val="32"/>
          <w:szCs w:val="32"/>
          <w:rtl/>
        </w:rPr>
        <w:t xml:space="preserve"> </w:t>
      </w:r>
    </w:p>
    <w:p w:rsidR="00F06D13" w:rsidRDefault="00F06D13" w:rsidP="00FE575D">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وقَد أخذَ الشَّاهدُ يتسَّعُ رويدًا رويدا في الثقافةِ العربيٍّة خاصة في منتصفِ القرنِ الثَّالثِ </w:t>
      </w:r>
      <w:r w:rsidR="00D25926">
        <w:rPr>
          <w:rFonts w:ascii="Traditional Arabic" w:hAnsi="Traditional Arabic" w:cs="Traditional Arabic" w:hint="cs"/>
          <w:sz w:val="32"/>
          <w:szCs w:val="32"/>
          <w:rtl/>
        </w:rPr>
        <w:t>ال</w:t>
      </w:r>
      <w:r>
        <w:rPr>
          <w:rFonts w:ascii="Traditional Arabic" w:hAnsi="Traditional Arabic" w:cs="Traditional Arabic" w:hint="cs"/>
          <w:sz w:val="32"/>
          <w:szCs w:val="32"/>
          <w:rtl/>
        </w:rPr>
        <w:t xml:space="preserve">هجريِّ نتيجة احتدامِ الصِّراعِ بينَ الفرقِ الكلاميَّة والنِّحلِ المذهبيَّة، فكانَ من يُؤتيِّ بالدَّليلِ القاطعِ والشَّاهدِ الملائِمِ لسياقِ الفكرةِ </w:t>
      </w:r>
      <w:r w:rsidR="00EA71C5">
        <w:rPr>
          <w:rFonts w:ascii="Traditional Arabic" w:hAnsi="Traditional Arabic" w:cs="Traditional Arabic" w:hint="cs"/>
          <w:sz w:val="32"/>
          <w:szCs w:val="32"/>
          <w:rtl/>
        </w:rPr>
        <w:t>يُتاحُ له كسبَ الرِّهانَ وقصمِ ظهورِ خصومهِ</w:t>
      </w:r>
      <w:r w:rsidR="006A69B9">
        <w:rPr>
          <w:rFonts w:ascii="Traditional Arabic" w:hAnsi="Traditional Arabic" w:cs="Traditional Arabic" w:hint="cs"/>
          <w:sz w:val="32"/>
          <w:szCs w:val="32"/>
          <w:rtl/>
        </w:rPr>
        <w:t>،</w:t>
      </w:r>
      <w:r w:rsidR="00EA71C5">
        <w:rPr>
          <w:rFonts w:ascii="Traditional Arabic" w:hAnsi="Traditional Arabic" w:cs="Traditional Arabic" w:hint="cs"/>
          <w:sz w:val="32"/>
          <w:szCs w:val="32"/>
          <w:rtl/>
        </w:rPr>
        <w:t xml:space="preserve"> وهذا الذي جرى للجاحظِ أيَّام تسعُّر الخلافِ مع الشُّعوبيّين</w:t>
      </w:r>
      <w:r w:rsidR="00DE53E3">
        <w:rPr>
          <w:rFonts w:ascii="Traditional Arabic" w:hAnsi="Traditional Arabic" w:cs="Traditional Arabic" w:hint="cs"/>
          <w:sz w:val="32"/>
          <w:szCs w:val="32"/>
          <w:rtl/>
        </w:rPr>
        <w:t xml:space="preserve">: </w:t>
      </w:r>
      <w:r w:rsidR="00750C02">
        <w:rPr>
          <w:rFonts w:ascii="Traditional Arabic" w:hAnsi="Traditional Arabic" w:cs="Traditional Arabic" w:hint="cs"/>
          <w:sz w:val="32"/>
          <w:szCs w:val="32"/>
          <w:rtl/>
        </w:rPr>
        <w:t>"</w:t>
      </w:r>
      <w:r w:rsidR="00DE53E3">
        <w:rPr>
          <w:rFonts w:ascii="Traditional Arabic" w:hAnsi="Traditional Arabic" w:cs="Traditional Arabic" w:hint="cs"/>
          <w:sz w:val="32"/>
          <w:szCs w:val="32"/>
          <w:rtl/>
        </w:rPr>
        <w:t>متَى أخذتَ يد</w:t>
      </w:r>
      <w:r w:rsidR="00A5714F">
        <w:rPr>
          <w:rFonts w:ascii="Traditional Arabic" w:hAnsi="Traditional Arabic" w:cs="Traditional Arabic" w:hint="cs"/>
          <w:sz w:val="32"/>
          <w:szCs w:val="32"/>
          <w:rtl/>
        </w:rPr>
        <w:t>َ</w:t>
      </w:r>
      <w:r w:rsidR="00DE53E3">
        <w:rPr>
          <w:rFonts w:ascii="Traditional Arabic" w:hAnsi="Traditional Arabic" w:cs="Traditional Arabic" w:hint="cs"/>
          <w:sz w:val="32"/>
          <w:szCs w:val="32"/>
          <w:rtl/>
        </w:rPr>
        <w:t xml:space="preserve"> الش</w:t>
      </w:r>
      <w:r w:rsidR="00A5714F">
        <w:rPr>
          <w:rFonts w:ascii="Traditional Arabic" w:hAnsi="Traditional Arabic" w:cs="Traditional Arabic" w:hint="cs"/>
          <w:sz w:val="32"/>
          <w:szCs w:val="32"/>
          <w:rtl/>
        </w:rPr>
        <w:t>ُّ</w:t>
      </w:r>
      <w:r w:rsidR="00DE53E3">
        <w:rPr>
          <w:rFonts w:ascii="Traditional Arabic" w:hAnsi="Traditional Arabic" w:cs="Traditional Arabic" w:hint="cs"/>
          <w:sz w:val="32"/>
          <w:szCs w:val="32"/>
          <w:rtl/>
        </w:rPr>
        <w:t>عوبيِّ،</w:t>
      </w:r>
      <w:r w:rsidR="00FE575D">
        <w:rPr>
          <w:rFonts w:ascii="Traditional Arabic" w:hAnsi="Traditional Arabic" w:cs="Traditional Arabic" w:hint="cs"/>
          <w:sz w:val="32"/>
          <w:szCs w:val="32"/>
          <w:rtl/>
        </w:rPr>
        <w:t xml:space="preserve"> فَأدخلتُهُ بلادَ الأعراب الخلَّص، ومعدنَ الفصاحةَ التَّامة، ووقَّفتَهُ على شَاعرٍ مُفلق، أو خطيبٍ مِصقع، علِمَ أنَّ الذيِّ قُلتَ هو الحق وأبصَرَ الشَّاهدَ عينًا</w:t>
      </w:r>
      <w:r w:rsidR="00750C02">
        <w:rPr>
          <w:rFonts w:ascii="Traditional Arabic" w:hAnsi="Traditional Arabic" w:cs="Traditional Arabic" w:hint="cs"/>
          <w:sz w:val="32"/>
          <w:szCs w:val="32"/>
          <w:rtl/>
        </w:rPr>
        <w:t>"</w:t>
      </w:r>
      <w:r w:rsidR="00750C02">
        <w:rPr>
          <w:rStyle w:val="Appelnotedebasdep"/>
          <w:rFonts w:ascii="Traditional Arabic" w:hAnsi="Traditional Arabic" w:cs="Traditional Arabic"/>
          <w:sz w:val="32"/>
          <w:szCs w:val="32"/>
          <w:rtl/>
        </w:rPr>
        <w:footnoteReference w:id="4"/>
      </w:r>
      <w:r w:rsidR="00FE575D">
        <w:rPr>
          <w:rFonts w:ascii="Traditional Arabic" w:hAnsi="Traditional Arabic" w:cs="Traditional Arabic" w:hint="cs"/>
          <w:sz w:val="32"/>
          <w:szCs w:val="32"/>
          <w:rtl/>
        </w:rPr>
        <w:t xml:space="preserve">.   </w:t>
      </w:r>
    </w:p>
    <w:p w:rsidR="00062B7C" w:rsidRDefault="00D14FB1" w:rsidP="00062B7C">
      <w:pPr>
        <w:jc w:val="right"/>
        <w:rPr>
          <w:rFonts w:ascii="Traditional Arabic" w:hAnsi="Traditional Arabic" w:cs="Traditional Arabic"/>
          <w:sz w:val="32"/>
          <w:szCs w:val="32"/>
          <w:rtl/>
        </w:rPr>
      </w:pPr>
      <w:r w:rsidRPr="00D14FB1">
        <w:rPr>
          <w:rFonts w:ascii="Traditional Arabic" w:hAnsi="Traditional Arabic" w:cs="Traditional Arabic" w:hint="cs"/>
          <w:sz w:val="32"/>
          <w:szCs w:val="32"/>
          <w:rtl/>
        </w:rPr>
        <w:t xml:space="preserve">  </w:t>
      </w:r>
      <w:r w:rsidR="00FE575D">
        <w:rPr>
          <w:rFonts w:ascii="Traditional Arabic" w:hAnsi="Traditional Arabic" w:cs="Traditional Arabic" w:hint="cs"/>
          <w:sz w:val="32"/>
          <w:szCs w:val="32"/>
          <w:rtl/>
        </w:rPr>
        <w:t>ولاريبَ أن تجرُّنا مقولةُ الجاحظِ إلى حقيقةٍ نقديَّة بِعينها وهي أنَّ التَّحقيرَ الذي لطالَما أبداهُ رعاةُ الشعوبيَّة تجاهَ العربَ قد يؤولُ فخر</w:t>
      </w:r>
      <w:r w:rsidR="00BF64A5">
        <w:rPr>
          <w:rFonts w:ascii="Traditional Arabic" w:hAnsi="Traditional Arabic" w:cs="Traditional Arabic" w:hint="cs"/>
          <w:sz w:val="32"/>
          <w:szCs w:val="32"/>
          <w:rtl/>
        </w:rPr>
        <w:t>ً</w:t>
      </w:r>
      <w:r w:rsidR="00FE575D">
        <w:rPr>
          <w:rFonts w:ascii="Traditional Arabic" w:hAnsi="Traditional Arabic" w:cs="Traditional Arabic" w:hint="cs"/>
          <w:sz w:val="32"/>
          <w:szCs w:val="32"/>
          <w:rtl/>
        </w:rPr>
        <w:t>ا</w:t>
      </w:r>
      <w:r w:rsidR="00BF64A5">
        <w:rPr>
          <w:rFonts w:ascii="Traditional Arabic" w:hAnsi="Traditional Arabic" w:cs="Traditional Arabic" w:hint="cs"/>
          <w:sz w:val="32"/>
          <w:szCs w:val="32"/>
          <w:rtl/>
        </w:rPr>
        <w:t>،</w:t>
      </w:r>
      <w:r w:rsidR="00FE575D">
        <w:rPr>
          <w:rFonts w:ascii="Traditional Arabic" w:hAnsi="Traditional Arabic" w:cs="Traditional Arabic" w:hint="cs"/>
          <w:sz w:val="32"/>
          <w:szCs w:val="32"/>
          <w:rtl/>
        </w:rPr>
        <w:t xml:space="preserve"> </w:t>
      </w:r>
      <w:r w:rsidR="00062B7C">
        <w:rPr>
          <w:rFonts w:ascii="Traditional Arabic" w:hAnsi="Traditional Arabic" w:cs="Traditional Arabic" w:hint="cs"/>
          <w:sz w:val="32"/>
          <w:szCs w:val="32"/>
          <w:rtl/>
        </w:rPr>
        <w:t>لو جالَ الشعوبيُّ بلاد الأعرابِ</w:t>
      </w:r>
      <w:r w:rsidR="00D25926">
        <w:rPr>
          <w:rFonts w:ascii="Traditional Arabic" w:hAnsi="Traditional Arabic" w:cs="Traditional Arabic" w:hint="cs"/>
          <w:sz w:val="32"/>
          <w:szCs w:val="32"/>
          <w:rtl/>
        </w:rPr>
        <w:t>،</w:t>
      </w:r>
      <w:r w:rsidR="00062B7C">
        <w:rPr>
          <w:rFonts w:ascii="Traditional Arabic" w:hAnsi="Traditional Arabic" w:cs="Traditional Arabic" w:hint="cs"/>
          <w:sz w:val="32"/>
          <w:szCs w:val="32"/>
          <w:rtl/>
        </w:rPr>
        <w:t xml:space="preserve"> واطلَّع على ما فيهَا من شواهدَ إبداعيَّة ماثلة وعاينَها بعمق </w:t>
      </w:r>
      <w:r w:rsidR="00062B7C">
        <w:rPr>
          <w:rFonts w:ascii="Traditional Arabic" w:hAnsi="Traditional Arabic" w:cs="Traditional Arabic" w:hint="cs"/>
          <w:sz w:val="32"/>
          <w:szCs w:val="32"/>
          <w:rtl/>
        </w:rPr>
        <w:lastRenderedPageBreak/>
        <w:t>من شِعريَّاتٍ ممتدَّة الأغراضِ، وخطبٍ يكسوها البيانُ والفَصاحةَ، وهذا من تمامِ صنعةِ العربِ وهو تجويدُ الكلامِ ونظمهِ.</w:t>
      </w:r>
    </w:p>
    <w:p w:rsidR="006F4F7B" w:rsidRDefault="007F0FF5" w:rsidP="00AA710A">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ويَعضدُ طالبُ العلمِ </w:t>
      </w:r>
      <w:r w:rsidR="006F4F7B">
        <w:rPr>
          <w:rFonts w:ascii="Traditional Arabic" w:hAnsi="Traditional Arabic" w:cs="Traditional Arabic" w:hint="cs"/>
          <w:sz w:val="32"/>
          <w:szCs w:val="32"/>
          <w:rtl/>
        </w:rPr>
        <w:t>بِ</w:t>
      </w:r>
      <w:r>
        <w:rPr>
          <w:rFonts w:ascii="Traditional Arabic" w:hAnsi="Traditional Arabic" w:cs="Traditional Arabic" w:hint="cs"/>
          <w:sz w:val="32"/>
          <w:szCs w:val="32"/>
          <w:rtl/>
        </w:rPr>
        <w:t>الشَّاهدِ فهو سبيلهُ لِتَمتينِ قاعدتهِ المعرفيَّة، وغايتُهُ لتطوير كفاءتهِ اللغويَّة</w:t>
      </w:r>
      <w:r w:rsidR="006F4F7B">
        <w:rPr>
          <w:rFonts w:ascii="Traditional Arabic" w:hAnsi="Traditional Arabic" w:cs="Traditional Arabic" w:hint="cs"/>
          <w:sz w:val="32"/>
          <w:szCs w:val="32"/>
          <w:rtl/>
        </w:rPr>
        <w:t xml:space="preserve"> بحسبِ تصوِّر الناقد العربيِّ القديم </w:t>
      </w:r>
      <w:r w:rsidR="00AA710A">
        <w:rPr>
          <w:rFonts w:ascii="Traditional Arabic" w:hAnsi="Traditional Arabic" w:cs="Traditional Arabic" w:hint="cs"/>
          <w:sz w:val="32"/>
          <w:szCs w:val="32"/>
          <w:rtl/>
        </w:rPr>
        <w:t xml:space="preserve">ابن رشيق المسيليِّ </w:t>
      </w:r>
      <w:r w:rsidR="006F4F7B">
        <w:rPr>
          <w:rFonts w:ascii="Traditional Arabic" w:hAnsi="Traditional Arabic" w:cs="Traditional Arabic" w:hint="cs"/>
          <w:sz w:val="32"/>
          <w:szCs w:val="32"/>
          <w:rtl/>
        </w:rPr>
        <w:t xml:space="preserve">: </w:t>
      </w:r>
      <w:r w:rsidR="00786804">
        <w:rPr>
          <w:rFonts w:ascii="Traditional Arabic" w:hAnsi="Traditional Arabic" w:cs="Traditional Arabic" w:hint="cs"/>
          <w:sz w:val="32"/>
          <w:szCs w:val="32"/>
          <w:rtl/>
        </w:rPr>
        <w:t>"</w:t>
      </w:r>
      <w:r>
        <w:rPr>
          <w:rFonts w:ascii="Traditional Arabic" w:hAnsi="Traditional Arabic" w:cs="Traditional Arabic" w:hint="cs"/>
          <w:sz w:val="32"/>
          <w:szCs w:val="32"/>
          <w:rtl/>
        </w:rPr>
        <w:t>فكلَّما أكثرتَ من الشَّواهدِ فإنَّما أريد بذلكَ تَأنيسُ المُتعلِّم وتجسيرهِ على الأشياء الرَّائقة</w:t>
      </w:r>
      <w:r w:rsidR="00786804">
        <w:rPr>
          <w:rFonts w:ascii="Traditional Arabic" w:hAnsi="Traditional Arabic" w:cs="Traditional Arabic" w:hint="cs"/>
          <w:sz w:val="32"/>
          <w:szCs w:val="32"/>
          <w:rtl/>
        </w:rPr>
        <w:t>"</w:t>
      </w:r>
      <w:r w:rsidR="00AA710A">
        <w:rPr>
          <w:rStyle w:val="Appelnotedebasdep"/>
          <w:rFonts w:ascii="Traditional Arabic" w:hAnsi="Traditional Arabic" w:cs="Traditional Arabic"/>
          <w:sz w:val="32"/>
          <w:szCs w:val="32"/>
          <w:rtl/>
        </w:rPr>
        <w:footnoteReference w:id="5"/>
      </w:r>
      <w:r>
        <w:rPr>
          <w:rFonts w:ascii="Traditional Arabic" w:hAnsi="Traditional Arabic" w:cs="Traditional Arabic" w:hint="cs"/>
          <w:sz w:val="32"/>
          <w:szCs w:val="32"/>
          <w:rtl/>
        </w:rPr>
        <w:t>.</w:t>
      </w:r>
    </w:p>
    <w:p w:rsidR="006F4F7B" w:rsidRDefault="007F0FF5" w:rsidP="006F4F7B">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F4F7B">
        <w:rPr>
          <w:rFonts w:ascii="Traditional Arabic" w:hAnsi="Traditional Arabic" w:cs="Traditional Arabic" w:hint="cs"/>
          <w:sz w:val="32"/>
          <w:szCs w:val="32"/>
          <w:rtl/>
        </w:rPr>
        <w:t>ويُرادُ بالتَّجسيرِ والتَّأنيسِ في هذا الموضعِ الوصولَ لذروةِ الانتشاء المعرفيّ والعلميِّ عَبرَ اتِّخاذِ الشَّاهدِ أداةً تفسيريَّة للموادِ العلميَّة الأكثر غُموضًا والأشدَّ اِعتياصًا على الاِستيعابِ والتَّحصيلِ، فَتنقادُ لكَ طيِّعةً غيرَ ناشزة، بفضلِ سُلطةِ الشَّاهدِ.</w:t>
      </w:r>
    </w:p>
    <w:p w:rsidR="00E463D5" w:rsidRDefault="000D65A0" w:rsidP="00D25926">
      <w:pPr>
        <w:jc w:val="right"/>
        <w:rPr>
          <w:rFonts w:ascii="Traditional Arabic" w:hAnsi="Traditional Arabic" w:cs="Traditional Arabic"/>
          <w:sz w:val="32"/>
          <w:szCs w:val="32"/>
          <w:rtl/>
        </w:rPr>
      </w:pPr>
      <w:r>
        <w:rPr>
          <w:rFonts w:ascii="Traditional Arabic" w:hAnsi="Traditional Arabic" w:cs="Traditional Arabic" w:hint="cs"/>
          <w:sz w:val="32"/>
          <w:szCs w:val="32"/>
          <w:rtl/>
        </w:rPr>
        <w:t>ويُرادفُ الشَّاهدُ</w:t>
      </w:r>
      <w:r w:rsidR="00D25926">
        <w:rPr>
          <w:rFonts w:ascii="Traditional Arabic" w:hAnsi="Traditional Arabic" w:cs="Traditional Arabic" w:hint="cs"/>
          <w:sz w:val="32"/>
          <w:szCs w:val="32"/>
          <w:rtl/>
        </w:rPr>
        <w:t xml:space="preserve"> مصطلحاتِ الإقناعِ والحِجاج</w:t>
      </w:r>
      <w:r>
        <w:rPr>
          <w:rFonts w:ascii="Traditional Arabic" w:hAnsi="Traditional Arabic" w:cs="Traditional Arabic" w:hint="cs"/>
          <w:sz w:val="32"/>
          <w:szCs w:val="32"/>
          <w:rtl/>
        </w:rPr>
        <w:t xml:space="preserve"> في صِبغتِها المُعاصرةِ</w:t>
      </w:r>
      <w:r w:rsidR="006A69B9">
        <w:rPr>
          <w:rFonts w:ascii="Traditional Arabic" w:hAnsi="Traditional Arabic" w:cs="Traditional Arabic" w:hint="cs"/>
          <w:sz w:val="32"/>
          <w:szCs w:val="32"/>
          <w:rtl/>
        </w:rPr>
        <w:t>،</w:t>
      </w:r>
      <w:r w:rsidR="00C6739F">
        <w:rPr>
          <w:rFonts w:ascii="Traditional Arabic" w:hAnsi="Traditional Arabic" w:cs="Traditional Arabic" w:hint="cs"/>
          <w:sz w:val="32"/>
          <w:szCs w:val="32"/>
          <w:rtl/>
        </w:rPr>
        <w:t xml:space="preserve"> الأمرُ الذيِّ</w:t>
      </w:r>
      <w:r>
        <w:rPr>
          <w:rFonts w:ascii="Traditional Arabic" w:hAnsi="Traditional Arabic" w:cs="Traditional Arabic" w:hint="cs"/>
          <w:sz w:val="32"/>
          <w:szCs w:val="32"/>
          <w:rtl/>
        </w:rPr>
        <w:t xml:space="preserve"> </w:t>
      </w:r>
      <w:r w:rsidR="00C6739F">
        <w:rPr>
          <w:rFonts w:ascii="Traditional Arabic" w:hAnsi="Traditional Arabic" w:cs="Traditional Arabic" w:hint="cs"/>
          <w:sz w:val="32"/>
          <w:szCs w:val="32"/>
          <w:rtl/>
        </w:rPr>
        <w:t>نَلمَحهُ ب</w:t>
      </w:r>
      <w:r>
        <w:rPr>
          <w:rFonts w:ascii="Traditional Arabic" w:hAnsi="Traditional Arabic" w:cs="Traditional Arabic" w:hint="cs"/>
          <w:sz w:val="32"/>
          <w:szCs w:val="32"/>
          <w:rtl/>
        </w:rPr>
        <w:t xml:space="preserve">التَّسانُدِ إلى ما رواهُ المسعوديِّ في كتابهِ </w:t>
      </w:r>
      <w:r w:rsidR="00D25926">
        <w:rPr>
          <w:rFonts w:ascii="Traditional Arabic" w:hAnsi="Traditional Arabic" w:cs="Traditional Arabic" w:hint="cs"/>
          <w:sz w:val="32"/>
          <w:szCs w:val="32"/>
          <w:rtl/>
        </w:rPr>
        <w:t>"</w:t>
      </w:r>
      <w:r w:rsidR="00C6739F" w:rsidRPr="00D25926">
        <w:rPr>
          <w:rFonts w:ascii="Traditional Arabic" w:hAnsi="Traditional Arabic" w:cs="Traditional Arabic" w:hint="cs"/>
          <w:sz w:val="32"/>
          <w:szCs w:val="32"/>
          <w:rtl/>
        </w:rPr>
        <w:t>مروج الذَّهب</w:t>
      </w:r>
      <w:r w:rsidR="00D25926">
        <w:rPr>
          <w:rFonts w:ascii="Traditional Arabic" w:hAnsi="Traditional Arabic" w:cs="Traditional Arabic" w:hint="cs"/>
          <w:sz w:val="32"/>
          <w:szCs w:val="32"/>
          <w:rtl/>
        </w:rPr>
        <w:t>"</w:t>
      </w:r>
      <w:r w:rsidR="00C6739F" w:rsidRPr="00D25926">
        <w:rPr>
          <w:rFonts w:ascii="Traditional Arabic" w:hAnsi="Traditional Arabic" w:cs="Traditional Arabic" w:hint="cs"/>
          <w:sz w:val="32"/>
          <w:szCs w:val="32"/>
          <w:rtl/>
        </w:rPr>
        <w:t xml:space="preserve"> </w:t>
      </w:r>
      <w:r w:rsidR="00C6739F">
        <w:rPr>
          <w:rFonts w:ascii="Traditional Arabic" w:hAnsi="Traditional Arabic" w:cs="Traditional Arabic" w:hint="cs"/>
          <w:sz w:val="32"/>
          <w:szCs w:val="32"/>
          <w:rtl/>
        </w:rPr>
        <w:t xml:space="preserve">أين وقع سجالٌ بين الحجاجِ بن يوسفِ الثقفيِّ </w:t>
      </w:r>
      <w:r w:rsidR="00E463D5">
        <w:rPr>
          <w:rFonts w:ascii="Traditional Arabic" w:hAnsi="Traditional Arabic" w:cs="Traditional Arabic" w:hint="cs"/>
          <w:sz w:val="32"/>
          <w:szCs w:val="32"/>
          <w:rtl/>
        </w:rPr>
        <w:t>وسُمرةَ بنُ</w:t>
      </w:r>
      <w:r w:rsidR="00C6739F">
        <w:rPr>
          <w:rFonts w:ascii="Traditional Arabic" w:hAnsi="Traditional Arabic" w:cs="Traditional Arabic" w:hint="cs"/>
          <w:sz w:val="32"/>
          <w:szCs w:val="32"/>
          <w:rtl/>
        </w:rPr>
        <w:t xml:space="preserve"> الجعد، حيثُ</w:t>
      </w:r>
      <w:r w:rsidR="00983129">
        <w:rPr>
          <w:rFonts w:ascii="Traditional Arabic" w:hAnsi="Traditional Arabic" w:cs="Traditional Arabic" w:hint="cs"/>
          <w:sz w:val="32"/>
          <w:szCs w:val="32"/>
          <w:rtl/>
        </w:rPr>
        <w:t xml:space="preserve"> قال لهُ</w:t>
      </w:r>
      <w:r w:rsidR="00C6739F">
        <w:rPr>
          <w:rFonts w:ascii="Traditional Arabic" w:hAnsi="Traditional Arabic" w:cs="Traditional Arabic" w:hint="cs"/>
          <w:sz w:val="32"/>
          <w:szCs w:val="32"/>
          <w:rtl/>
        </w:rPr>
        <w:t xml:space="preserve"> الحجَّاج</w:t>
      </w:r>
      <w:r w:rsidR="00983129">
        <w:rPr>
          <w:rFonts w:ascii="Traditional Arabic" w:hAnsi="Traditional Arabic" w:cs="Traditional Arabic" w:hint="cs"/>
          <w:sz w:val="32"/>
          <w:szCs w:val="32"/>
          <w:rtl/>
        </w:rPr>
        <w:t xml:space="preserve"> هل تروي الشِّعر، فردَّ عليهِ ابن الجعد مجيبًا: إنِّي لأروي المثل والشَّاهد، قال الحجَّاجُ مُستفسِرًا: أمَّا المثَلُ عرفناهُ، فمَا الشَّاهدُ؟، فأجابَ بن </w:t>
      </w:r>
      <w:r w:rsidR="00D848D4">
        <w:rPr>
          <w:rFonts w:ascii="Traditional Arabic" w:hAnsi="Traditional Arabic" w:cs="Traditional Arabic" w:hint="cs"/>
          <w:sz w:val="32"/>
          <w:szCs w:val="32"/>
          <w:rtl/>
        </w:rPr>
        <w:t xml:space="preserve">الجعد: اليوم يكونُ للعربِ من أيَّامِها شاهدٌ، فأنَّا </w:t>
      </w:r>
      <w:r w:rsidR="00034081">
        <w:rPr>
          <w:rFonts w:ascii="Traditional Arabic" w:hAnsi="Traditional Arabic" w:cs="Traditional Arabic" w:hint="cs"/>
          <w:sz w:val="32"/>
          <w:szCs w:val="32"/>
          <w:rtl/>
        </w:rPr>
        <w:t>أرويِّ ذلك</w:t>
      </w:r>
      <w:r w:rsidR="00E463D5">
        <w:rPr>
          <w:rFonts w:ascii="Traditional Arabic" w:hAnsi="Traditional Arabic" w:cs="Traditional Arabic" w:hint="cs"/>
          <w:sz w:val="32"/>
          <w:szCs w:val="32"/>
          <w:rtl/>
        </w:rPr>
        <w:t xml:space="preserve"> الشَّاهد</w:t>
      </w:r>
      <w:r w:rsidR="00AA710A">
        <w:rPr>
          <w:rFonts w:ascii="Traditional Arabic" w:hAnsi="Traditional Arabic" w:cs="Traditional Arabic" w:hint="cs"/>
          <w:sz w:val="32"/>
          <w:szCs w:val="32"/>
          <w:rtl/>
        </w:rPr>
        <w:t>"</w:t>
      </w:r>
      <w:r w:rsidR="00AA710A">
        <w:rPr>
          <w:rStyle w:val="Appelnotedebasdep"/>
          <w:rFonts w:ascii="Traditional Arabic" w:hAnsi="Traditional Arabic" w:cs="Traditional Arabic"/>
          <w:sz w:val="32"/>
          <w:szCs w:val="32"/>
          <w:rtl/>
        </w:rPr>
        <w:footnoteReference w:id="6"/>
      </w:r>
      <w:r w:rsidR="00E463D5">
        <w:rPr>
          <w:rFonts w:ascii="Traditional Arabic" w:hAnsi="Traditional Arabic" w:cs="Traditional Arabic" w:hint="cs"/>
          <w:sz w:val="32"/>
          <w:szCs w:val="32"/>
          <w:rtl/>
        </w:rPr>
        <w:t>.</w:t>
      </w:r>
    </w:p>
    <w:p w:rsidR="00E80A58" w:rsidRDefault="00E463D5" w:rsidP="001A3279">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فالشَّاهدُ هنا يتنزَّلُ مقامَ الذاكرةِ </w:t>
      </w:r>
      <w:r w:rsidR="00E80A58">
        <w:rPr>
          <w:rFonts w:ascii="Traditional Arabic" w:hAnsi="Traditional Arabic" w:cs="Traditional Arabic" w:hint="cs"/>
          <w:sz w:val="32"/>
          <w:szCs w:val="32"/>
          <w:rtl/>
        </w:rPr>
        <w:t>التي تُعنى بتقييدِ مآثر العربِ، فاستدعاؤه كلَّما اقتضت الحاجةِ يُعدُّ</w:t>
      </w:r>
      <w:r w:rsidR="001A3279">
        <w:rPr>
          <w:rFonts w:ascii="Traditional Arabic" w:hAnsi="Traditional Arabic" w:cs="Traditional Arabic" w:hint="cs"/>
          <w:sz w:val="32"/>
          <w:szCs w:val="32"/>
          <w:rtl/>
        </w:rPr>
        <w:t xml:space="preserve"> جُنوحًا</w:t>
      </w:r>
      <w:r w:rsidR="00E80A58">
        <w:rPr>
          <w:rFonts w:ascii="Traditional Arabic" w:hAnsi="Traditional Arabic" w:cs="Traditional Arabic" w:hint="cs"/>
          <w:sz w:val="32"/>
          <w:szCs w:val="32"/>
          <w:rtl/>
        </w:rPr>
        <w:t xml:space="preserve"> منهجيًّا لتوثيقِ مُنجزاتِ العربِ الشِّعريَّة والنثريَّة التي تُحاولُ تطويقَ الحدثَ التَّاريخيِّ.</w:t>
      </w:r>
    </w:p>
    <w:p w:rsidR="0014094E" w:rsidRPr="00BF6278" w:rsidRDefault="00BF6278" w:rsidP="001E6AD9">
      <w:pPr>
        <w:jc w:val="center"/>
        <w:rPr>
          <w:rFonts w:ascii="Traditional Arabic" w:hAnsi="Traditional Arabic" w:cs="Traditional Arabic"/>
          <w:b/>
          <w:bCs/>
          <w:sz w:val="32"/>
          <w:szCs w:val="32"/>
          <w:u w:val="single"/>
          <w:rtl/>
        </w:rPr>
      </w:pPr>
      <w:r w:rsidRPr="00BF6278">
        <w:rPr>
          <w:rFonts w:ascii="Traditional Arabic" w:hAnsi="Traditional Arabic" w:cs="Traditional Arabic" w:hint="cs"/>
          <w:sz w:val="32"/>
          <w:szCs w:val="32"/>
          <w:u w:val="single"/>
          <w:rtl/>
        </w:rPr>
        <w:t>2</w:t>
      </w:r>
      <w:r w:rsidR="00EB5968" w:rsidRPr="00BF6278">
        <w:rPr>
          <w:rFonts w:ascii="Traditional Arabic" w:hAnsi="Traditional Arabic" w:cs="Traditional Arabic" w:hint="cs"/>
          <w:sz w:val="32"/>
          <w:szCs w:val="32"/>
          <w:u w:val="single"/>
          <w:rtl/>
        </w:rPr>
        <w:t>/</w:t>
      </w:r>
      <w:r w:rsidR="00EB5968">
        <w:rPr>
          <w:rFonts w:ascii="Traditional Arabic" w:hAnsi="Traditional Arabic" w:cs="Traditional Arabic" w:hint="cs"/>
          <w:b/>
          <w:bCs/>
          <w:sz w:val="32"/>
          <w:szCs w:val="32"/>
          <w:u w:val="single"/>
          <w:rtl/>
        </w:rPr>
        <w:t xml:space="preserve"> </w:t>
      </w:r>
      <w:r w:rsidR="00EB5968" w:rsidRPr="00BF6278">
        <w:rPr>
          <w:rFonts w:ascii="Traditional Arabic" w:hAnsi="Traditional Arabic" w:cs="Traditional Arabic" w:hint="cs"/>
          <w:b/>
          <w:bCs/>
          <w:sz w:val="32"/>
          <w:szCs w:val="32"/>
          <w:u w:val="single"/>
          <w:rtl/>
        </w:rPr>
        <w:t>الشَّاهد</w:t>
      </w:r>
      <w:r w:rsidR="0014094E" w:rsidRPr="00BF6278">
        <w:rPr>
          <w:rFonts w:ascii="Traditional Arabic" w:hAnsi="Traditional Arabic" w:cs="Traditional Arabic" w:hint="cs"/>
          <w:b/>
          <w:bCs/>
          <w:sz w:val="32"/>
          <w:szCs w:val="32"/>
          <w:u w:val="single"/>
          <w:rtl/>
        </w:rPr>
        <w:t xml:space="preserve"> </w:t>
      </w:r>
      <w:r w:rsidR="000C0743">
        <w:rPr>
          <w:rFonts w:ascii="Traditional Arabic" w:hAnsi="Traditional Arabic" w:cs="Traditional Arabic" w:hint="cs"/>
          <w:b/>
          <w:bCs/>
          <w:sz w:val="32"/>
          <w:szCs w:val="32"/>
          <w:u w:val="single"/>
          <w:rtl/>
        </w:rPr>
        <w:t>و</w:t>
      </w:r>
      <w:r w:rsidR="00C24409">
        <w:rPr>
          <w:rFonts w:ascii="Traditional Arabic" w:hAnsi="Traditional Arabic" w:cs="Traditional Arabic" w:hint="cs"/>
          <w:b/>
          <w:bCs/>
          <w:sz w:val="32"/>
          <w:szCs w:val="32"/>
          <w:u w:val="single"/>
          <w:rtl/>
        </w:rPr>
        <w:t>إدانةِ نَسق الت</w:t>
      </w:r>
      <w:r w:rsidR="000C0743">
        <w:rPr>
          <w:rFonts w:ascii="Traditional Arabic" w:hAnsi="Traditional Arabic" w:cs="Traditional Arabic" w:hint="cs"/>
          <w:b/>
          <w:bCs/>
          <w:sz w:val="32"/>
          <w:szCs w:val="32"/>
          <w:u w:val="single"/>
          <w:rtl/>
        </w:rPr>
        <w:t>َّ</w:t>
      </w:r>
      <w:r w:rsidR="00C24409">
        <w:rPr>
          <w:rFonts w:ascii="Traditional Arabic" w:hAnsi="Traditional Arabic" w:cs="Traditional Arabic" w:hint="cs"/>
          <w:b/>
          <w:bCs/>
          <w:sz w:val="32"/>
          <w:szCs w:val="32"/>
          <w:u w:val="single"/>
          <w:rtl/>
        </w:rPr>
        <w:t>فحيلِ في الش</w:t>
      </w:r>
      <w:r w:rsidR="000C0743">
        <w:rPr>
          <w:rFonts w:ascii="Traditional Arabic" w:hAnsi="Traditional Arabic" w:cs="Traditional Arabic" w:hint="cs"/>
          <w:b/>
          <w:bCs/>
          <w:sz w:val="32"/>
          <w:szCs w:val="32"/>
          <w:u w:val="single"/>
          <w:rtl/>
        </w:rPr>
        <w:t>ِّ</w:t>
      </w:r>
      <w:r w:rsidR="00C24409">
        <w:rPr>
          <w:rFonts w:ascii="Traditional Arabic" w:hAnsi="Traditional Arabic" w:cs="Traditional Arabic" w:hint="cs"/>
          <w:b/>
          <w:bCs/>
          <w:sz w:val="32"/>
          <w:szCs w:val="32"/>
          <w:u w:val="single"/>
          <w:rtl/>
        </w:rPr>
        <w:t>عري</w:t>
      </w:r>
      <w:r w:rsidR="000C0743">
        <w:rPr>
          <w:rFonts w:ascii="Traditional Arabic" w:hAnsi="Traditional Arabic" w:cs="Traditional Arabic" w:hint="cs"/>
          <w:b/>
          <w:bCs/>
          <w:sz w:val="32"/>
          <w:szCs w:val="32"/>
          <w:u w:val="single"/>
          <w:rtl/>
        </w:rPr>
        <w:t>ّ</w:t>
      </w:r>
      <w:r w:rsidR="00C24409">
        <w:rPr>
          <w:rFonts w:ascii="Traditional Arabic" w:hAnsi="Traditional Arabic" w:cs="Traditional Arabic" w:hint="cs"/>
          <w:b/>
          <w:bCs/>
          <w:sz w:val="32"/>
          <w:szCs w:val="32"/>
          <w:u w:val="single"/>
          <w:rtl/>
        </w:rPr>
        <w:t>ة العربيَّة</w:t>
      </w:r>
    </w:p>
    <w:p w:rsidR="00D955C8" w:rsidRDefault="002C4FC6" w:rsidP="00D955C8">
      <w:pPr>
        <w:jc w:val="right"/>
        <w:rPr>
          <w:rFonts w:ascii="Traditional Arabic" w:hAnsi="Traditional Arabic" w:cs="Traditional Arabic"/>
          <w:sz w:val="32"/>
          <w:szCs w:val="32"/>
          <w:rtl/>
        </w:rPr>
      </w:pPr>
      <w:r>
        <w:rPr>
          <w:rFonts w:ascii="Traditional Arabic" w:hAnsi="Traditional Arabic" w:cs="Traditional Arabic" w:hint="cs"/>
          <w:sz w:val="32"/>
          <w:szCs w:val="32"/>
          <w:rtl/>
        </w:rPr>
        <w:t>يسـتأهلُ عبد الله الغذاميِّ في كتابهِ النقد الثقافيِّ النَّكشَ في بواطنِ الشعرياتِ العربيَّة القديمةِ لتعريةِ بعضِ العيوبِ النسقيَّة المُتعامى عنها ثقافيَّا والتي تتَّخذُ من التَّورياتِ البلاغيَّة، والمَجازاتِ الفنيَّة أداةً للتملُّص من سلطةِ النَّقد كفكرة الفحولةِ التي لطالَما تدثَّرت بعباءة الجماليِّ لتؤسِّس لسلوكِ غير إنسانيِّ يتسرَّبُ للقصيدةِ العربيَّة عبر تعاقبِ الأزمنةِ</w:t>
      </w:r>
      <w:r w:rsidR="00D955C8">
        <w:rPr>
          <w:rFonts w:ascii="Traditional Arabic" w:hAnsi="Traditional Arabic" w:cs="Traditional Arabic" w:hint="cs"/>
          <w:sz w:val="32"/>
          <w:szCs w:val="32"/>
          <w:rtl/>
        </w:rPr>
        <w:t>.</w:t>
      </w:r>
    </w:p>
    <w:p w:rsidR="00D955C8" w:rsidRDefault="00D955C8" w:rsidP="006A69B9">
      <w:pPr>
        <w:jc w:val="right"/>
        <w:rPr>
          <w:rFonts w:ascii="Traditional Arabic" w:hAnsi="Traditional Arabic" w:cs="Traditional Arabic"/>
          <w:b/>
          <w:bCs/>
          <w:sz w:val="32"/>
          <w:szCs w:val="32"/>
          <w:rtl/>
        </w:rPr>
      </w:pPr>
      <w:r>
        <w:rPr>
          <w:rFonts w:ascii="Traditional Arabic" w:hAnsi="Traditional Arabic" w:cs="Traditional Arabic" w:hint="cs"/>
          <w:sz w:val="32"/>
          <w:szCs w:val="32"/>
          <w:rtl/>
        </w:rPr>
        <w:t>لعلَّ تجّذُل الفح</w:t>
      </w:r>
      <w:r w:rsidR="00D25926">
        <w:rPr>
          <w:rFonts w:ascii="Traditional Arabic" w:hAnsi="Traditional Arabic" w:cs="Traditional Arabic" w:hint="cs"/>
          <w:sz w:val="32"/>
          <w:szCs w:val="32"/>
          <w:rtl/>
        </w:rPr>
        <w:t>و</w:t>
      </w:r>
      <w:r>
        <w:rPr>
          <w:rFonts w:ascii="Traditional Arabic" w:hAnsi="Traditional Arabic" w:cs="Traditional Arabic" w:hint="cs"/>
          <w:sz w:val="32"/>
          <w:szCs w:val="32"/>
          <w:rtl/>
        </w:rPr>
        <w:t>ل</w:t>
      </w:r>
      <w:r w:rsidR="00D25926">
        <w:rPr>
          <w:rFonts w:ascii="Traditional Arabic" w:hAnsi="Traditional Arabic" w:cs="Traditional Arabic" w:hint="cs"/>
          <w:sz w:val="32"/>
          <w:szCs w:val="32"/>
          <w:rtl/>
        </w:rPr>
        <w:t>ة</w:t>
      </w:r>
      <w:r>
        <w:rPr>
          <w:rFonts w:ascii="Traditional Arabic" w:hAnsi="Traditional Arabic" w:cs="Traditional Arabic" w:hint="cs"/>
          <w:sz w:val="32"/>
          <w:szCs w:val="32"/>
          <w:rtl/>
        </w:rPr>
        <w:t xml:space="preserve"> في نسق الشعريَّةِ العربيَّة مردُّهُ تِلكَ المغايرة الوظيفيَّة لأغراضِ القصيدة بانتقالها من طورِ النَّاطقِ الرسميِّ للقبيلةِ إلى طورِ الخطابِ الذاتيِّ الذي تتعزَّزُ فيهِ قيمُ المصلحةِ الشخصيَّة والفرديَّة الطَّاغيةِ والانتحالِ </w:t>
      </w:r>
      <w:r>
        <w:rPr>
          <w:rFonts w:ascii="Traditional Arabic" w:hAnsi="Traditional Arabic" w:cs="Traditional Arabic" w:hint="cs"/>
          <w:sz w:val="32"/>
          <w:szCs w:val="32"/>
          <w:rtl/>
        </w:rPr>
        <w:lastRenderedPageBreak/>
        <w:t xml:space="preserve">البلاغيِّ، وكذَا تضخيمِ الأنا الشَّاعرةِ، ويُدلّلُّ عبد الله الغذاميِّ على صحَّةِ مقولتهِ عبر استِدعاء الشَّاهدِ النقديِّ الذي بسطهُ عمرُ بن الخطَّابِ رضي الله عنهُ </w:t>
      </w:r>
      <w:r w:rsidR="0076017E">
        <w:rPr>
          <w:rFonts w:ascii="Traditional Arabic" w:hAnsi="Traditional Arabic" w:cs="Traditional Arabic" w:hint="cs"/>
          <w:sz w:val="32"/>
          <w:szCs w:val="32"/>
          <w:rtl/>
        </w:rPr>
        <w:t>:</w:t>
      </w:r>
      <w:r w:rsidRPr="00D955C8">
        <w:rPr>
          <w:rFonts w:ascii="Traditional Arabic" w:hAnsi="Traditional Arabic" w:cs="Traditional Arabic" w:hint="cs"/>
          <w:b/>
          <w:bCs/>
          <w:sz w:val="32"/>
          <w:szCs w:val="32"/>
          <w:rtl/>
        </w:rPr>
        <w:t>{هوَ عِلمُ قومٍ لم يكن لهم عِلمٌ سِواه</w:t>
      </w:r>
      <w:r w:rsidR="0076017E">
        <w:rPr>
          <w:rFonts w:ascii="Traditional Arabic" w:hAnsi="Traditional Arabic" w:cs="Traditional Arabic" w:hint="cs"/>
          <w:b/>
          <w:bCs/>
          <w:sz w:val="32"/>
          <w:szCs w:val="32"/>
          <w:rtl/>
        </w:rPr>
        <w:t>"</w:t>
      </w:r>
      <w:r w:rsidR="0076017E">
        <w:rPr>
          <w:rStyle w:val="Appelnotedebasdep"/>
          <w:rFonts w:ascii="Traditional Arabic" w:hAnsi="Traditional Arabic" w:cs="Traditional Arabic"/>
          <w:b/>
          <w:bCs/>
          <w:sz w:val="32"/>
          <w:szCs w:val="32"/>
          <w:rtl/>
        </w:rPr>
        <w:footnoteReference w:id="7"/>
      </w:r>
      <w:r w:rsidRPr="00D955C8">
        <w:rPr>
          <w:rFonts w:ascii="Traditional Arabic" w:hAnsi="Traditional Arabic" w:cs="Traditional Arabic" w:hint="cs"/>
          <w:b/>
          <w:bCs/>
          <w:sz w:val="32"/>
          <w:szCs w:val="32"/>
          <w:rtl/>
        </w:rPr>
        <w:t>}</w:t>
      </w:r>
      <w:r w:rsidR="002E3635">
        <w:rPr>
          <w:rFonts w:ascii="Traditional Arabic" w:hAnsi="Traditional Arabic" w:cs="Traditional Arabic" w:hint="cs"/>
          <w:b/>
          <w:bCs/>
          <w:sz w:val="32"/>
          <w:szCs w:val="32"/>
          <w:rtl/>
        </w:rPr>
        <w:t>.</w:t>
      </w:r>
    </w:p>
    <w:p w:rsidR="000A0ADE" w:rsidRDefault="002E3635" w:rsidP="009F0C8D">
      <w:pPr>
        <w:jc w:val="right"/>
        <w:rPr>
          <w:rFonts w:ascii="Traditional Arabic" w:hAnsi="Traditional Arabic" w:cs="Traditional Arabic"/>
          <w:sz w:val="32"/>
          <w:szCs w:val="32"/>
          <w:rtl/>
        </w:rPr>
      </w:pPr>
      <w:r w:rsidRPr="002E3635">
        <w:rPr>
          <w:rFonts w:ascii="Traditional Arabic" w:hAnsi="Traditional Arabic" w:cs="Traditional Arabic" w:hint="cs"/>
          <w:sz w:val="32"/>
          <w:szCs w:val="32"/>
          <w:rtl/>
        </w:rPr>
        <w:t>لقد</w:t>
      </w:r>
      <w:r>
        <w:rPr>
          <w:rFonts w:ascii="Traditional Arabic" w:hAnsi="Traditional Arabic" w:cs="Traditional Arabic" w:hint="cs"/>
          <w:sz w:val="32"/>
          <w:szCs w:val="32"/>
          <w:rtl/>
        </w:rPr>
        <w:t xml:space="preserve"> أزاحَ الشَّاهدِ عديدَ الالتباساتِ التي تداع</w:t>
      </w:r>
      <w:r w:rsidR="00A5714F">
        <w:rPr>
          <w:rFonts w:ascii="Traditional Arabic" w:hAnsi="Traditional Arabic" w:cs="Traditional Arabic" w:hint="cs"/>
          <w:sz w:val="32"/>
          <w:szCs w:val="32"/>
          <w:rtl/>
        </w:rPr>
        <w:t>َ</w:t>
      </w:r>
      <w:r>
        <w:rPr>
          <w:rFonts w:ascii="Traditional Arabic" w:hAnsi="Traditional Arabic" w:cs="Traditional Arabic" w:hint="cs"/>
          <w:sz w:val="32"/>
          <w:szCs w:val="32"/>
          <w:rtl/>
        </w:rPr>
        <w:t>ت على القارئ العربيِّ حول الجدوى من روايةِ الشِّعر وحفظهِ والعملِ بأطاريحهِ البلاغيَّة وصورهِ الوصفيَّة</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وهذا بتشريحِ العيوبِ النسقيَّة والأعطابِ الأخلاقيَّة التي أصابت مؤسَّستهُ الخِطابيَّة بانتقالهِ من صوتِ جمعويِّ يذودُ عن الأمة ويصونُ القبيلةِ</w:t>
      </w:r>
      <w:r w:rsidR="009F0C8D">
        <w:rPr>
          <w:rFonts w:ascii="Traditional Arabic" w:hAnsi="Traditional Arabic" w:cs="Traditional Arabic" w:hint="cs"/>
          <w:sz w:val="32"/>
          <w:szCs w:val="32"/>
          <w:rtl/>
        </w:rPr>
        <w:t xml:space="preserve"> بتعريفِ عمر بن الخطَّاب رضي الله عنه، </w:t>
      </w:r>
      <w:r>
        <w:rPr>
          <w:rFonts w:ascii="Traditional Arabic" w:hAnsi="Traditional Arabic" w:cs="Traditional Arabic" w:hint="cs"/>
          <w:sz w:val="32"/>
          <w:szCs w:val="32"/>
          <w:rtl/>
        </w:rPr>
        <w:t>إلى صوتِ ناشز طافحِ بالف</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حولةِ وهذا بسببِ ظهور ثنائيَّة المادحِ والممدوح وما </w:t>
      </w:r>
      <w:r w:rsidR="000A0ADE">
        <w:rPr>
          <w:rFonts w:ascii="Traditional Arabic" w:hAnsi="Traditional Arabic" w:cs="Traditional Arabic" w:hint="cs"/>
          <w:sz w:val="32"/>
          <w:szCs w:val="32"/>
          <w:rtl/>
        </w:rPr>
        <w:t>اِ</w:t>
      </w:r>
      <w:r>
        <w:rPr>
          <w:rFonts w:ascii="Traditional Arabic" w:hAnsi="Traditional Arabic" w:cs="Traditional Arabic" w:hint="cs"/>
          <w:sz w:val="32"/>
          <w:szCs w:val="32"/>
          <w:rtl/>
        </w:rPr>
        <w:t>نجرَّ عنها من قيمٍ خطابيَّة قبيحةٍ كالكذب البلاغيِّ،</w:t>
      </w:r>
      <w:r w:rsidR="00974D26">
        <w:rPr>
          <w:rFonts w:ascii="Traditional Arabic" w:hAnsi="Traditional Arabic" w:cs="Traditional Arabic" w:hint="cs"/>
          <w:sz w:val="32"/>
          <w:szCs w:val="32"/>
          <w:rtl/>
        </w:rPr>
        <w:t xml:space="preserve"> والتملُّق</w:t>
      </w:r>
      <w:r>
        <w:rPr>
          <w:rFonts w:ascii="Traditional Arabic" w:hAnsi="Traditional Arabic" w:cs="Traditional Arabic" w:hint="cs"/>
          <w:sz w:val="32"/>
          <w:szCs w:val="32"/>
          <w:rtl/>
        </w:rPr>
        <w:t xml:space="preserve"> </w:t>
      </w:r>
      <w:r w:rsidR="00833318">
        <w:rPr>
          <w:rFonts w:ascii="Traditional Arabic" w:hAnsi="Traditional Arabic" w:cs="Traditional Arabic" w:hint="cs"/>
          <w:sz w:val="32"/>
          <w:szCs w:val="32"/>
          <w:rtl/>
        </w:rPr>
        <w:t>أمامِ عتباتِ المُلوكِ</w:t>
      </w:r>
      <w:r w:rsidR="00974D2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الس</w:t>
      </w:r>
      <w:r w:rsidR="00974D26">
        <w:rPr>
          <w:rFonts w:ascii="Traditional Arabic" w:hAnsi="Traditional Arabic" w:cs="Traditional Arabic" w:hint="cs"/>
          <w:sz w:val="32"/>
          <w:szCs w:val="32"/>
          <w:rtl/>
        </w:rPr>
        <w:t>َّ</w:t>
      </w:r>
      <w:r>
        <w:rPr>
          <w:rFonts w:ascii="Traditional Arabic" w:hAnsi="Traditional Arabic" w:cs="Traditional Arabic" w:hint="cs"/>
          <w:sz w:val="32"/>
          <w:szCs w:val="32"/>
          <w:rtl/>
        </w:rPr>
        <w:t>لاطينِ</w:t>
      </w:r>
      <w:r w:rsidR="00974D26">
        <w:rPr>
          <w:rFonts w:ascii="Traditional Arabic" w:hAnsi="Traditional Arabic" w:cs="Traditional Arabic" w:hint="cs"/>
          <w:sz w:val="32"/>
          <w:szCs w:val="32"/>
          <w:rtl/>
        </w:rPr>
        <w:t>، وملاينةِ أهلِ الباطل واستعطافهم كي يغدقوا عليهِ دراهم معدودة</w:t>
      </w:r>
      <w:r w:rsidR="000A0ADE">
        <w:rPr>
          <w:rFonts w:ascii="Traditional Arabic" w:hAnsi="Traditional Arabic" w:cs="Traditional Arabic" w:hint="cs"/>
          <w:sz w:val="32"/>
          <w:szCs w:val="32"/>
          <w:rtl/>
        </w:rPr>
        <w:t>.</w:t>
      </w:r>
    </w:p>
    <w:p w:rsidR="00A34BF3" w:rsidRDefault="000A0ADE" w:rsidP="00A34BF3">
      <w:pPr>
        <w:jc w:val="right"/>
        <w:rPr>
          <w:rFonts w:ascii="Traditional Arabic" w:hAnsi="Traditional Arabic" w:cs="Traditional Arabic"/>
          <w:sz w:val="32"/>
          <w:szCs w:val="32"/>
          <w:rtl/>
        </w:rPr>
      </w:pPr>
      <w:r>
        <w:rPr>
          <w:rFonts w:ascii="Traditional Arabic" w:hAnsi="Traditional Arabic" w:cs="Traditional Arabic" w:hint="cs"/>
          <w:sz w:val="32"/>
          <w:szCs w:val="32"/>
          <w:rtl/>
        </w:rPr>
        <w:t>إنَّ تلكَ الملاحظاتِ النقديَّة الصميميَّة ليست وليدة انطباعِ نفسيِّ مؤق</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ت</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بل هي نتاج عمل دؤوب في</w:t>
      </w:r>
      <w:r w:rsidR="004C4C89">
        <w:rPr>
          <w:rFonts w:ascii="Traditional Arabic" w:hAnsi="Traditional Arabic" w:cs="Traditional Arabic" w:hint="cs"/>
          <w:sz w:val="32"/>
          <w:szCs w:val="32"/>
          <w:rtl/>
        </w:rPr>
        <w:t xml:space="preserve"> </w:t>
      </w:r>
      <w:r w:rsidR="00F50C3C">
        <w:rPr>
          <w:rFonts w:ascii="Traditional Arabic" w:hAnsi="Traditional Arabic" w:cs="Traditional Arabic" w:hint="cs"/>
          <w:sz w:val="32"/>
          <w:szCs w:val="32"/>
          <w:rtl/>
        </w:rPr>
        <w:t>البحثِ والقراءةِ</w:t>
      </w:r>
      <w:r>
        <w:rPr>
          <w:rFonts w:ascii="Traditional Arabic" w:hAnsi="Traditional Arabic" w:cs="Traditional Arabic" w:hint="cs"/>
          <w:sz w:val="32"/>
          <w:szCs w:val="32"/>
          <w:rtl/>
        </w:rPr>
        <w:t xml:space="preserve"> الانتاجيَّة</w:t>
      </w:r>
      <w:r w:rsidR="00F50C3C">
        <w:rPr>
          <w:rFonts w:ascii="Traditional Arabic" w:hAnsi="Traditional Arabic" w:cs="Traditional Arabic" w:hint="cs"/>
          <w:sz w:val="32"/>
          <w:szCs w:val="32"/>
          <w:rtl/>
        </w:rPr>
        <w:t xml:space="preserve"> الشَّارحة</w:t>
      </w:r>
      <w:r>
        <w:rPr>
          <w:rFonts w:ascii="Traditional Arabic" w:hAnsi="Traditional Arabic" w:cs="Traditional Arabic" w:hint="cs"/>
          <w:sz w:val="32"/>
          <w:szCs w:val="32"/>
          <w:rtl/>
        </w:rPr>
        <w:t xml:space="preserve"> التي تتذرَّعُ بالتَّأويل الخِصب والمساءلةِ </w:t>
      </w:r>
      <w:r w:rsidR="00EF0307">
        <w:rPr>
          <w:rFonts w:ascii="Traditional Arabic" w:hAnsi="Traditional Arabic" w:cs="Traditional Arabic" w:hint="cs"/>
          <w:sz w:val="32"/>
          <w:szCs w:val="32"/>
          <w:rtl/>
        </w:rPr>
        <w:t>النوعيَّة لسيرةِ الشعراءِ القدامى</w:t>
      </w:r>
      <w:r w:rsidR="00A5714F">
        <w:rPr>
          <w:rFonts w:ascii="Traditional Arabic" w:hAnsi="Traditional Arabic" w:cs="Traditional Arabic" w:hint="cs"/>
          <w:sz w:val="32"/>
          <w:szCs w:val="32"/>
          <w:rtl/>
        </w:rPr>
        <w:t>،</w:t>
      </w:r>
      <w:r w:rsidR="00EF0307">
        <w:rPr>
          <w:rFonts w:ascii="Traditional Arabic" w:hAnsi="Traditional Arabic" w:cs="Traditional Arabic" w:hint="cs"/>
          <w:sz w:val="32"/>
          <w:szCs w:val="32"/>
          <w:rtl/>
        </w:rPr>
        <w:t xml:space="preserve"> كتلكَ الشهادة التي أبداها الفرزدق في خضَّم الكَسَادِ الأخلاقيِّ الذي مسَّ القصيدة </w:t>
      </w:r>
      <w:r w:rsidR="00A34BF3">
        <w:rPr>
          <w:rFonts w:ascii="Traditional Arabic" w:hAnsi="Traditional Arabic" w:cs="Traditional Arabic" w:hint="cs"/>
          <w:sz w:val="32"/>
          <w:szCs w:val="32"/>
          <w:rtl/>
        </w:rPr>
        <w:t>العربيَّة:</w:t>
      </w:r>
      <w:r w:rsidR="00A34BF3" w:rsidRPr="00EF0307">
        <w:rPr>
          <w:rFonts w:ascii="Traditional Arabic" w:hAnsi="Traditional Arabic" w:cs="Traditional Arabic" w:hint="cs"/>
          <w:b/>
          <w:bCs/>
          <w:sz w:val="32"/>
          <w:szCs w:val="32"/>
          <w:rtl/>
        </w:rPr>
        <w:t xml:space="preserve"> </w:t>
      </w:r>
      <w:r w:rsidR="00A34BF3" w:rsidRPr="0047211B">
        <w:rPr>
          <w:rFonts w:ascii="Traditional Arabic" w:hAnsi="Traditional Arabic" w:cs="Traditional Arabic" w:hint="cs"/>
          <w:b/>
          <w:bCs/>
          <w:sz w:val="32"/>
          <w:szCs w:val="32"/>
          <w:rtl/>
        </w:rPr>
        <w:t>"أطعتُكَ</w:t>
      </w:r>
      <w:r w:rsidR="00EF0307" w:rsidRPr="0047211B">
        <w:rPr>
          <w:rFonts w:ascii="Traditional Arabic" w:hAnsi="Traditional Arabic" w:cs="Traditional Arabic" w:hint="cs"/>
          <w:b/>
          <w:bCs/>
          <w:sz w:val="32"/>
          <w:szCs w:val="32"/>
          <w:rtl/>
        </w:rPr>
        <w:t xml:space="preserve"> يا إبليس سبعينَ </w:t>
      </w:r>
      <w:r w:rsidR="00A34BF3" w:rsidRPr="0047211B">
        <w:rPr>
          <w:rFonts w:ascii="Traditional Arabic" w:hAnsi="Traditional Arabic" w:cs="Traditional Arabic" w:hint="cs"/>
          <w:b/>
          <w:bCs/>
          <w:sz w:val="32"/>
          <w:szCs w:val="32"/>
          <w:rtl/>
        </w:rPr>
        <w:t>حُجَّة"</w:t>
      </w:r>
      <w:r w:rsidR="00A34BF3" w:rsidRPr="0047211B">
        <w:rPr>
          <w:rStyle w:val="Appelnotedebasdep"/>
          <w:rFonts w:ascii="Traditional Arabic" w:hAnsi="Traditional Arabic" w:cs="Traditional Arabic"/>
          <w:b/>
          <w:bCs/>
          <w:sz w:val="32"/>
          <w:szCs w:val="32"/>
          <w:rtl/>
        </w:rPr>
        <w:footnoteReference w:id="8"/>
      </w:r>
      <w:r w:rsidR="00A34BF3" w:rsidRPr="0047211B">
        <w:rPr>
          <w:rFonts w:ascii="Traditional Arabic" w:hAnsi="Traditional Arabic" w:cs="Traditional Arabic" w:hint="cs"/>
          <w:b/>
          <w:bCs/>
          <w:sz w:val="32"/>
          <w:szCs w:val="32"/>
          <w:rtl/>
        </w:rPr>
        <w:t>.</w:t>
      </w:r>
    </w:p>
    <w:p w:rsidR="001A3279" w:rsidRPr="002E3635" w:rsidRDefault="00A34BF3" w:rsidP="00A34BF3">
      <w:pPr>
        <w:jc w:val="right"/>
        <w:rPr>
          <w:rFonts w:ascii="Traditional Arabic" w:hAnsi="Traditional Arabic" w:cs="Traditional Arabic"/>
          <w:sz w:val="32"/>
          <w:szCs w:val="32"/>
          <w:rtl/>
        </w:rPr>
      </w:pPr>
      <w:r w:rsidRPr="00A34BF3">
        <w:rPr>
          <w:rFonts w:ascii="Traditional Arabic" w:hAnsi="Traditional Arabic" w:cs="Traditional Arabic" w:hint="cs"/>
          <w:sz w:val="32"/>
          <w:szCs w:val="32"/>
          <w:rtl/>
        </w:rPr>
        <w:t xml:space="preserve"> عدا</w:t>
      </w:r>
      <w:r w:rsidR="00EF0307">
        <w:rPr>
          <w:rFonts w:ascii="Traditional Arabic" w:hAnsi="Traditional Arabic" w:cs="Traditional Arabic" w:hint="cs"/>
          <w:sz w:val="32"/>
          <w:szCs w:val="32"/>
          <w:rtl/>
        </w:rPr>
        <w:t xml:space="preserve"> أنَّه يصف نفسَهُ في ديوانهِ الشعريِّ </w:t>
      </w:r>
      <w:r w:rsidR="00B2725E">
        <w:rPr>
          <w:rFonts w:ascii="Traditional Arabic" w:hAnsi="Traditional Arabic" w:cs="Traditional Arabic" w:hint="cs"/>
          <w:sz w:val="32"/>
          <w:szCs w:val="32"/>
          <w:rtl/>
        </w:rPr>
        <w:t>"</w:t>
      </w:r>
      <w:r w:rsidR="00EF0307">
        <w:rPr>
          <w:rFonts w:ascii="Traditional Arabic" w:hAnsi="Traditional Arabic" w:cs="Traditional Arabic" w:hint="cs"/>
          <w:sz w:val="32"/>
          <w:szCs w:val="32"/>
          <w:rtl/>
        </w:rPr>
        <w:t>بأنَّه عذابٌ على النَّاس ونقمة عليهم</w:t>
      </w:r>
      <w:r w:rsidR="00B2725E">
        <w:rPr>
          <w:rFonts w:ascii="Traditional Arabic" w:hAnsi="Traditional Arabic" w:cs="Traditional Arabic" w:hint="cs"/>
          <w:sz w:val="32"/>
          <w:szCs w:val="32"/>
          <w:rtl/>
        </w:rPr>
        <w:t xml:space="preserve"> لكونهِ آثر الانزواء لصفوفِ الظلمةِ ورفعِ أسمائهم</w:t>
      </w:r>
      <w:r>
        <w:rPr>
          <w:rFonts w:ascii="Traditional Arabic" w:hAnsi="Traditional Arabic" w:cs="Traditional Arabic" w:hint="cs"/>
          <w:sz w:val="32"/>
          <w:szCs w:val="32"/>
          <w:rtl/>
        </w:rPr>
        <w:t xml:space="preserve"> </w:t>
      </w:r>
      <w:r w:rsidR="00B2725E">
        <w:rPr>
          <w:rFonts w:ascii="Traditional Arabic" w:hAnsi="Traditional Arabic" w:cs="Traditional Arabic" w:hint="cs"/>
          <w:sz w:val="32"/>
          <w:szCs w:val="32"/>
          <w:rtl/>
        </w:rPr>
        <w:t>عاليًا</w:t>
      </w:r>
      <w:r>
        <w:rPr>
          <w:rFonts w:ascii="Traditional Arabic" w:hAnsi="Traditional Arabic" w:cs="Traditional Arabic" w:hint="cs"/>
          <w:sz w:val="32"/>
          <w:szCs w:val="32"/>
          <w:rtl/>
        </w:rPr>
        <w:t>"</w:t>
      </w:r>
      <w:r w:rsidR="00F8134A">
        <w:rPr>
          <w:rStyle w:val="Appelnotedebasdep"/>
          <w:rFonts w:ascii="Traditional Arabic" w:hAnsi="Traditional Arabic" w:cs="Traditional Arabic"/>
          <w:sz w:val="32"/>
          <w:szCs w:val="32"/>
          <w:rtl/>
        </w:rPr>
        <w:footnoteReference w:id="9"/>
      </w:r>
      <w:r w:rsidR="00B2725E">
        <w:rPr>
          <w:rFonts w:ascii="Traditional Arabic" w:hAnsi="Traditional Arabic" w:cs="Traditional Arabic" w:hint="cs"/>
          <w:sz w:val="32"/>
          <w:szCs w:val="32"/>
          <w:rtl/>
        </w:rPr>
        <w:t xml:space="preserve">. </w:t>
      </w:r>
      <w:r w:rsidR="00EF0307">
        <w:rPr>
          <w:rFonts w:ascii="Traditional Arabic" w:hAnsi="Traditional Arabic" w:cs="Traditional Arabic" w:hint="cs"/>
          <w:sz w:val="32"/>
          <w:szCs w:val="32"/>
          <w:rtl/>
        </w:rPr>
        <w:t xml:space="preserve"> </w:t>
      </w:r>
      <w:r w:rsidR="00B2725E">
        <w:rPr>
          <w:rFonts w:ascii="Traditional Arabic" w:hAnsi="Traditional Arabic" w:cs="Traditional Arabic" w:hint="cs"/>
          <w:sz w:val="32"/>
          <w:szCs w:val="32"/>
          <w:rtl/>
        </w:rPr>
        <w:t xml:space="preserve"> </w:t>
      </w:r>
      <w:r w:rsidR="00EF0307">
        <w:rPr>
          <w:rFonts w:ascii="Traditional Arabic" w:hAnsi="Traditional Arabic" w:cs="Traditional Arabic" w:hint="cs"/>
          <w:sz w:val="32"/>
          <w:szCs w:val="32"/>
          <w:rtl/>
        </w:rPr>
        <w:t xml:space="preserve"> </w:t>
      </w:r>
    </w:p>
    <w:p w:rsidR="00BF6278" w:rsidRDefault="00B2725E" w:rsidP="00BF6278">
      <w:pPr>
        <w:jc w:val="right"/>
        <w:rPr>
          <w:rFonts w:ascii="Traditional Arabic" w:hAnsi="Traditional Arabic" w:cs="Traditional Arabic"/>
          <w:sz w:val="32"/>
          <w:szCs w:val="32"/>
          <w:rtl/>
        </w:rPr>
      </w:pPr>
      <w:r>
        <w:rPr>
          <w:rFonts w:ascii="Traditional Arabic" w:hAnsi="Traditional Arabic" w:cs="Traditional Arabic" w:hint="cs"/>
          <w:sz w:val="32"/>
          <w:szCs w:val="32"/>
          <w:rtl/>
        </w:rPr>
        <w:t>أُصبغَ الشَّاهد الذي ساقهُ عبد الغذاميِّ بطابعِ الإقرار الذاتيِّ والبوحِ العلنيِّ بمكرِ الشُّعراءِ وتحالفهم الجائرِ مع المؤسَّساتِ السلطويَّة القابضةِ على مصائر الشَّعوبِ وهذا في سبيلِ تدعيمِ ح</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صانتهم</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ورفعِ أسه</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6A69B9">
        <w:rPr>
          <w:rFonts w:ascii="Traditional Arabic" w:hAnsi="Traditional Arabic" w:cs="Traditional Arabic" w:hint="cs"/>
          <w:sz w:val="32"/>
          <w:szCs w:val="32"/>
          <w:rtl/>
        </w:rPr>
        <w:t>ِ</w:t>
      </w:r>
      <w:r>
        <w:rPr>
          <w:rFonts w:ascii="Traditional Arabic" w:hAnsi="Traditional Arabic" w:cs="Traditional Arabic" w:hint="cs"/>
          <w:sz w:val="32"/>
          <w:szCs w:val="32"/>
          <w:rtl/>
        </w:rPr>
        <w:t>هم السياسيَّة حتّى صارَ العضدُ بالشيطانِ غايةً لهؤلاء الشُّعراء لتثبيتِ مكانَتِهم الاجتماعيَّة وتعزيز مدخراتهم الماليَّة</w:t>
      </w:r>
      <w:r w:rsidR="00BF6278">
        <w:rPr>
          <w:rFonts w:ascii="Traditional Arabic" w:hAnsi="Traditional Arabic" w:cs="Traditional Arabic" w:hint="cs"/>
          <w:sz w:val="32"/>
          <w:szCs w:val="32"/>
          <w:rtl/>
        </w:rPr>
        <w:t xml:space="preserve">. </w:t>
      </w:r>
    </w:p>
    <w:p w:rsidR="00F50C3C" w:rsidRDefault="00B2725E" w:rsidP="00BE726D">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5B69C5">
        <w:rPr>
          <w:rFonts w:ascii="Traditional Arabic" w:hAnsi="Traditional Arabic" w:cs="Traditional Arabic" w:hint="cs"/>
          <w:sz w:val="32"/>
          <w:szCs w:val="32"/>
          <w:rtl/>
        </w:rPr>
        <w:t>لذلكَ ظهرت</w:t>
      </w:r>
      <w:r>
        <w:rPr>
          <w:rFonts w:ascii="Traditional Arabic" w:hAnsi="Traditional Arabic" w:cs="Traditional Arabic" w:hint="cs"/>
          <w:sz w:val="32"/>
          <w:szCs w:val="32"/>
          <w:rtl/>
        </w:rPr>
        <w:t xml:space="preserve"> الروادع القانونيَّة مبكرا في صدرِ الإسلام</w:t>
      </w:r>
      <w:r w:rsidR="00BF627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للحيلولةِ دون تفاقم </w:t>
      </w:r>
      <w:r w:rsidR="005B69C5">
        <w:rPr>
          <w:rFonts w:ascii="Traditional Arabic" w:hAnsi="Traditional Arabic" w:cs="Traditional Arabic" w:hint="cs"/>
          <w:sz w:val="32"/>
          <w:szCs w:val="32"/>
          <w:rtl/>
        </w:rPr>
        <w:t xml:space="preserve">الهجاء المقذع والمديح المتصنِّع </w:t>
      </w:r>
      <w:r w:rsidR="00A05B71">
        <w:rPr>
          <w:rFonts w:ascii="Traditional Arabic" w:hAnsi="Traditional Arabic" w:cs="Traditional Arabic" w:hint="cs"/>
          <w:sz w:val="32"/>
          <w:szCs w:val="32"/>
          <w:rtl/>
        </w:rPr>
        <w:t>مِثلَ سِجنِ</w:t>
      </w:r>
      <w:r w:rsidR="00BE726D">
        <w:rPr>
          <w:rFonts w:ascii="Traditional Arabic" w:hAnsi="Traditional Arabic" w:cs="Traditional Arabic" w:hint="cs"/>
          <w:sz w:val="32"/>
          <w:szCs w:val="32"/>
          <w:rtl/>
        </w:rPr>
        <w:t xml:space="preserve"> </w:t>
      </w:r>
      <w:r w:rsidR="005B69C5">
        <w:rPr>
          <w:rFonts w:ascii="Traditional Arabic" w:hAnsi="Traditional Arabic" w:cs="Traditional Arabic" w:hint="cs"/>
          <w:sz w:val="32"/>
          <w:szCs w:val="32"/>
          <w:rtl/>
        </w:rPr>
        <w:t>عمر بن الخطابِ للحطيئةِ</w:t>
      </w:r>
      <w:r w:rsidR="004C4C89">
        <w:rPr>
          <w:rFonts w:ascii="Traditional Arabic" w:hAnsi="Traditional Arabic" w:cs="Traditional Arabic" w:hint="cs"/>
          <w:sz w:val="32"/>
          <w:szCs w:val="32"/>
          <w:rtl/>
        </w:rPr>
        <w:t xml:space="preserve"> بِسبَبِ تطاولهِ على الزبرقانِ،</w:t>
      </w:r>
      <w:r w:rsidR="005B69C5">
        <w:rPr>
          <w:rFonts w:ascii="Traditional Arabic" w:hAnsi="Traditional Arabic" w:cs="Traditional Arabic" w:hint="cs"/>
          <w:sz w:val="32"/>
          <w:szCs w:val="32"/>
          <w:rtl/>
        </w:rPr>
        <w:t xml:space="preserve"> لكن الأمور انفلت</w:t>
      </w:r>
      <w:r w:rsidR="00A5714F">
        <w:rPr>
          <w:rFonts w:ascii="Traditional Arabic" w:hAnsi="Traditional Arabic" w:cs="Traditional Arabic" w:hint="cs"/>
          <w:sz w:val="32"/>
          <w:szCs w:val="32"/>
          <w:rtl/>
        </w:rPr>
        <w:t>َ</w:t>
      </w:r>
      <w:r w:rsidR="005B69C5">
        <w:rPr>
          <w:rFonts w:ascii="Traditional Arabic" w:hAnsi="Traditional Arabic" w:cs="Traditional Arabic" w:hint="cs"/>
          <w:sz w:val="32"/>
          <w:szCs w:val="32"/>
          <w:rtl/>
        </w:rPr>
        <w:t>ت</w:t>
      </w:r>
      <w:r w:rsidR="00A5714F">
        <w:rPr>
          <w:rFonts w:ascii="Traditional Arabic" w:hAnsi="Traditional Arabic" w:cs="Traditional Arabic" w:hint="cs"/>
          <w:sz w:val="32"/>
          <w:szCs w:val="32"/>
          <w:rtl/>
        </w:rPr>
        <w:t xml:space="preserve"> بعدئِذ</w:t>
      </w:r>
      <w:r w:rsidR="00BE726D">
        <w:rPr>
          <w:rFonts w:ascii="Traditional Arabic" w:hAnsi="Traditional Arabic" w:cs="Traditional Arabic" w:hint="cs"/>
          <w:sz w:val="32"/>
          <w:szCs w:val="32"/>
          <w:rtl/>
        </w:rPr>
        <w:t>ٍ</w:t>
      </w:r>
      <w:r w:rsidR="00A5714F">
        <w:rPr>
          <w:rFonts w:ascii="Traditional Arabic" w:hAnsi="Traditional Arabic" w:cs="Traditional Arabic" w:hint="cs"/>
          <w:sz w:val="32"/>
          <w:szCs w:val="32"/>
          <w:rtl/>
        </w:rPr>
        <w:t xml:space="preserve"> بسببِ</w:t>
      </w:r>
      <w:r w:rsidR="005B69C5">
        <w:rPr>
          <w:rFonts w:ascii="Traditional Arabic" w:hAnsi="Traditional Arabic" w:cs="Traditional Arabic" w:hint="cs"/>
          <w:sz w:val="32"/>
          <w:szCs w:val="32"/>
          <w:rtl/>
        </w:rPr>
        <w:t xml:space="preserve"> اتِّساعِ الأمصار الإسلاميَّة وتحوِّل الخلافة إلى دويلاتٍ متصارعة، ورغبةِ كلِّ خليفةِ في تخليدِ اسمهِ بدائرةِ التَّاريخ عبر شعرنةِ شخصيتِهِ لغايةِ تماهيها مع الأسطورةِ</w:t>
      </w:r>
      <w:r w:rsidR="00F50C3C">
        <w:rPr>
          <w:rFonts w:ascii="Traditional Arabic" w:hAnsi="Traditional Arabic" w:cs="Traditional Arabic" w:hint="cs"/>
          <w:sz w:val="32"/>
          <w:szCs w:val="32"/>
          <w:rtl/>
        </w:rPr>
        <w:t>.</w:t>
      </w:r>
    </w:p>
    <w:p w:rsidR="0065079D" w:rsidRDefault="00F50C3C" w:rsidP="0065079D">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ويعدُّ المتنبيِّ أوَّل من سنَّ هذهِ الخطيئةَ بارتهانه إلى التهويلِ الأسلوبيِّ، والكذب البلاغيِّ في مَدحِهِ لسيفِ الدَّولةِ، حتَّى جعل منهُ كائِنًا أُسطوريًّا خارقًا لا يَطالهُ الموتُ والبَلى </w:t>
      </w:r>
      <w:r w:rsidR="0065079D">
        <w:rPr>
          <w:rFonts w:ascii="Traditional Arabic" w:hAnsi="Traditional Arabic" w:cs="Traditional Arabic" w:hint="cs"/>
          <w:sz w:val="32"/>
          <w:szCs w:val="32"/>
          <w:rtl/>
        </w:rPr>
        <w:t>وهذا ما يبوء بهِ الشَّاهد الشعريِّ:</w:t>
      </w:r>
    </w:p>
    <w:p w:rsidR="0065079D" w:rsidRDefault="0065079D" w:rsidP="001E6AD9">
      <w:pPr>
        <w:jc w:val="center"/>
        <w:rPr>
          <w:rFonts w:ascii="Traditional Arabic" w:hAnsi="Traditional Arabic" w:cs="Traditional Arabic"/>
          <w:b/>
          <w:bCs/>
          <w:sz w:val="32"/>
          <w:szCs w:val="32"/>
          <w:rtl/>
        </w:rPr>
      </w:pPr>
      <w:r w:rsidRPr="0065079D">
        <w:rPr>
          <w:rFonts w:ascii="Traditional Arabic" w:hAnsi="Traditional Arabic" w:cs="Traditional Arabic"/>
          <w:b/>
          <w:bCs/>
          <w:sz w:val="32"/>
          <w:szCs w:val="32"/>
          <w:rtl/>
        </w:rPr>
        <w:lastRenderedPageBreak/>
        <w:t>وَمُهَذَّبٌ أَمَرَ المَنايا فيهِمِ</w:t>
      </w:r>
      <w:r w:rsidRPr="0065079D">
        <w:rPr>
          <w:rFonts w:ascii="Traditional Arabic" w:hAnsi="Traditional Arabic" w:cs="Traditional Arabic" w:hint="cs"/>
          <w:b/>
          <w:bCs/>
          <w:sz w:val="32"/>
          <w:szCs w:val="32"/>
          <w:rtl/>
        </w:rPr>
        <w:t xml:space="preserve"> </w:t>
      </w:r>
      <w:r w:rsidR="001E6AD9">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      </w:t>
      </w:r>
      <w:r w:rsidRPr="0065079D">
        <w:rPr>
          <w:rFonts w:ascii="Traditional Arabic" w:hAnsi="Traditional Arabic" w:cs="Traditional Arabic"/>
          <w:b/>
          <w:bCs/>
          <w:sz w:val="32"/>
          <w:szCs w:val="32"/>
          <w:rtl/>
        </w:rPr>
        <w:t>فَأَطَعنَهُ في طاعَةِ الرَحمَنِ</w:t>
      </w:r>
      <w:r w:rsidR="004C1D9F">
        <w:rPr>
          <w:rFonts w:ascii="Traditional Arabic" w:hAnsi="Traditional Arabic" w:cs="Traditional Arabic" w:hint="cs"/>
          <w:b/>
          <w:bCs/>
          <w:sz w:val="32"/>
          <w:szCs w:val="32"/>
          <w:rtl/>
        </w:rPr>
        <w:t>"</w:t>
      </w:r>
      <w:r w:rsidR="00F34E97">
        <w:rPr>
          <w:rStyle w:val="Appelnotedebasdep"/>
          <w:rFonts w:ascii="Traditional Arabic" w:hAnsi="Traditional Arabic" w:cs="Traditional Arabic"/>
          <w:b/>
          <w:bCs/>
          <w:sz w:val="32"/>
          <w:szCs w:val="32"/>
          <w:rtl/>
        </w:rPr>
        <w:footnoteReference w:id="10"/>
      </w:r>
    </w:p>
    <w:p w:rsidR="00E66306" w:rsidRDefault="0065079D" w:rsidP="00E66306">
      <w:pPr>
        <w:jc w:val="right"/>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لا جرَمَ أن يكونَ المتنبيِّ تحتَ طائلةِ الهلوسةِ المجازيَّةِ المنابذةِ للواقعِ</w:t>
      </w:r>
      <w:r w:rsidR="00BE726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A17DD2">
        <w:rPr>
          <w:rFonts w:ascii="Traditional Arabic" w:hAnsi="Traditional Arabic" w:cs="Traditional Arabic" w:hint="cs"/>
          <w:sz w:val="32"/>
          <w:szCs w:val="32"/>
          <w:rtl/>
        </w:rPr>
        <w:t xml:space="preserve">وإلَّا كيفَ نفسِّرُ انقيادهُ الأعمى لمثِلِ هكذا مُبالغة </w:t>
      </w:r>
      <w:r w:rsidR="00E66306">
        <w:rPr>
          <w:rFonts w:ascii="Traditional Arabic" w:hAnsi="Traditional Arabic" w:cs="Traditional Arabic" w:hint="cs"/>
          <w:sz w:val="32"/>
          <w:szCs w:val="32"/>
          <w:rtl/>
        </w:rPr>
        <w:t>حيثُ توشَّح البيتُ الشعريِّ بنسقٍ صوراتيِّ مهول، إذ سُخِّرَ الموتُ للمهذَّبِ تكنيةً عن سيفِ الدَّولةِ وانقادَ إليهِ طائعًا ليُخرسَ بهِ أعداءه.</w:t>
      </w:r>
    </w:p>
    <w:p w:rsidR="000B4AEB" w:rsidRDefault="00E66306" w:rsidP="000B4AEB">
      <w:pPr>
        <w:jc w:val="right"/>
        <w:rPr>
          <w:rFonts w:ascii="Traditional Arabic" w:hAnsi="Traditional Arabic" w:cs="Traditional Arabic"/>
          <w:sz w:val="32"/>
          <w:szCs w:val="32"/>
          <w:rtl/>
        </w:rPr>
      </w:pPr>
      <w:r>
        <w:rPr>
          <w:rFonts w:ascii="Traditional Arabic" w:hAnsi="Traditional Arabic" w:cs="Traditional Arabic" w:hint="cs"/>
          <w:sz w:val="32"/>
          <w:szCs w:val="32"/>
          <w:rtl/>
        </w:rPr>
        <w:t>يغتدي هذا الشَّاهدِ بمثابةِ الأداةِ النسقيَّة التعرويَّة التي تفضح المضمراتِ النصيَّة بقبحها الأخلاقيِّ والجماليِّ كمَا أنها تكشفُ عن تحوَّلاتٍ خطيرة مسَّت الشعريَّة العربيَّة</w:t>
      </w:r>
      <w:r w:rsidR="00BE726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0B4AEB">
        <w:rPr>
          <w:rFonts w:ascii="Traditional Arabic" w:hAnsi="Traditional Arabic" w:cs="Traditional Arabic" w:hint="cs"/>
          <w:sz w:val="32"/>
          <w:szCs w:val="32"/>
          <w:rtl/>
        </w:rPr>
        <w:t xml:space="preserve">باسترفادها لدلالاتٍ مُضاعفة تتمحور حولَ الذاتِ الطَّاغيةِ المطلقةِ التي تتأسَّس على ثلاثةِ إبدلاتِ إسناديَّة: </w:t>
      </w:r>
      <w:r w:rsidR="004C1D9F">
        <w:rPr>
          <w:rFonts w:ascii="Traditional Arabic" w:hAnsi="Traditional Arabic" w:cs="Traditional Arabic" w:hint="cs"/>
          <w:sz w:val="32"/>
          <w:szCs w:val="32"/>
          <w:rtl/>
        </w:rPr>
        <w:t>"</w:t>
      </w:r>
      <w:r w:rsidR="000B4AEB">
        <w:rPr>
          <w:rFonts w:ascii="Traditional Arabic" w:hAnsi="Traditional Arabic" w:cs="Traditional Arabic" w:hint="cs"/>
          <w:sz w:val="32"/>
          <w:szCs w:val="32"/>
          <w:rtl/>
        </w:rPr>
        <w:t>منَ النحنُ القبليَّةِ إلى النحنُ النسقيَّة إلى الأنَا الفحوليَّة</w:t>
      </w:r>
      <w:r w:rsidR="004C1D9F">
        <w:rPr>
          <w:rFonts w:ascii="Traditional Arabic" w:hAnsi="Traditional Arabic" w:cs="Traditional Arabic" w:hint="cs"/>
          <w:sz w:val="32"/>
          <w:szCs w:val="32"/>
          <w:rtl/>
        </w:rPr>
        <w:t>"</w:t>
      </w:r>
      <w:r w:rsidR="004C1D9F">
        <w:rPr>
          <w:rStyle w:val="Appelnotedebasdep"/>
          <w:rFonts w:ascii="Traditional Arabic" w:hAnsi="Traditional Arabic" w:cs="Traditional Arabic"/>
          <w:sz w:val="32"/>
          <w:szCs w:val="32"/>
          <w:rtl/>
        </w:rPr>
        <w:footnoteReference w:id="11"/>
      </w:r>
      <w:r w:rsidR="000B4AEB">
        <w:rPr>
          <w:rFonts w:ascii="Traditional Arabic" w:hAnsi="Traditional Arabic" w:cs="Traditional Arabic" w:hint="cs"/>
          <w:sz w:val="32"/>
          <w:szCs w:val="32"/>
          <w:rtl/>
        </w:rPr>
        <w:t>.</w:t>
      </w:r>
    </w:p>
    <w:p w:rsidR="00536E44" w:rsidRDefault="00A00218" w:rsidP="006A69B9">
      <w:pPr>
        <w:jc w:val="right"/>
        <w:rPr>
          <w:rFonts w:ascii="Traditional Arabic" w:hAnsi="Traditional Arabic" w:cs="Traditional Arabic"/>
          <w:sz w:val="32"/>
          <w:szCs w:val="32"/>
          <w:rtl/>
        </w:rPr>
      </w:pPr>
      <w:r>
        <w:rPr>
          <w:rFonts w:ascii="Traditional Arabic" w:hAnsi="Traditional Arabic" w:cs="Traditional Arabic" w:hint="cs"/>
          <w:sz w:val="32"/>
          <w:szCs w:val="32"/>
          <w:rtl/>
        </w:rPr>
        <w:t>ولا يلبث عبد الله الغذاميِّ في استحضار الشَّاهد الشعريِّ المعاصر لإثباتِ أنَّ قيم الفحولة مازالت مُندسَّة عندَ بعضِ الشُّعراء العرب الذينَ لطالمَا استخدموا الحداثة</w:t>
      </w:r>
      <w:r w:rsidR="00536E44">
        <w:rPr>
          <w:rFonts w:ascii="Traditional Arabic" w:hAnsi="Traditional Arabic" w:cs="Traditional Arabic" w:hint="cs"/>
          <w:sz w:val="32"/>
          <w:szCs w:val="32"/>
          <w:rtl/>
        </w:rPr>
        <w:t xml:space="preserve"> والتنويرِ</w:t>
      </w:r>
      <w:r>
        <w:rPr>
          <w:rFonts w:ascii="Traditional Arabic" w:hAnsi="Traditional Arabic" w:cs="Traditional Arabic" w:hint="cs"/>
          <w:sz w:val="32"/>
          <w:szCs w:val="32"/>
          <w:rtl/>
        </w:rPr>
        <w:t xml:space="preserve"> لتوريةِ شخصيتهم </w:t>
      </w:r>
      <w:r w:rsidR="00536E44">
        <w:rPr>
          <w:rFonts w:ascii="Traditional Arabic" w:hAnsi="Traditional Arabic" w:cs="Traditional Arabic" w:hint="cs"/>
          <w:sz w:val="32"/>
          <w:szCs w:val="32"/>
          <w:rtl/>
        </w:rPr>
        <w:t>النرجسيَّة التي تحنُّ إلى المُغالاة كنزار قبَّانيِّ المشغوفِ</w:t>
      </w:r>
      <w:r w:rsidR="00BA1513">
        <w:rPr>
          <w:rFonts w:ascii="Traditional Arabic" w:hAnsi="Traditional Arabic" w:cs="Traditional Arabic" w:hint="cs"/>
          <w:sz w:val="32"/>
          <w:szCs w:val="32"/>
          <w:rtl/>
        </w:rPr>
        <w:t xml:space="preserve"> بِحياكةِ</w:t>
      </w:r>
      <w:r w:rsidR="00536E44">
        <w:rPr>
          <w:rFonts w:ascii="Traditional Arabic" w:hAnsi="Traditional Arabic" w:cs="Traditional Arabic" w:hint="cs"/>
          <w:sz w:val="32"/>
          <w:szCs w:val="32"/>
          <w:rtl/>
        </w:rPr>
        <w:t xml:space="preserve"> ضميرِ الأنا</w:t>
      </w:r>
      <w:r w:rsidR="00BA1513">
        <w:rPr>
          <w:rFonts w:ascii="Traditional Arabic" w:hAnsi="Traditional Arabic" w:cs="Traditional Arabic" w:hint="cs"/>
          <w:sz w:val="32"/>
          <w:szCs w:val="32"/>
          <w:rtl/>
        </w:rPr>
        <w:t xml:space="preserve"> في قلبِ المركزيةِ الخطابيَّة</w:t>
      </w:r>
      <w:r w:rsidR="00BE726D">
        <w:rPr>
          <w:rFonts w:ascii="Traditional Arabic" w:hAnsi="Traditional Arabic" w:cs="Traditional Arabic" w:hint="cs"/>
          <w:sz w:val="32"/>
          <w:szCs w:val="32"/>
          <w:rtl/>
        </w:rPr>
        <w:t>،</w:t>
      </w:r>
      <w:r w:rsidR="00BA1513">
        <w:rPr>
          <w:rFonts w:ascii="Traditional Arabic" w:hAnsi="Traditional Arabic" w:cs="Traditional Arabic" w:hint="cs"/>
          <w:sz w:val="32"/>
          <w:szCs w:val="32"/>
          <w:rtl/>
        </w:rPr>
        <w:t xml:space="preserve"> ومَا أتبَعهُ من ا</w:t>
      </w:r>
      <w:r w:rsidR="000E08ED">
        <w:rPr>
          <w:rFonts w:ascii="Traditional Arabic" w:hAnsi="Traditional Arabic" w:cs="Traditional Arabic" w:hint="cs"/>
          <w:sz w:val="32"/>
          <w:szCs w:val="32"/>
          <w:rtl/>
        </w:rPr>
        <w:t>ِ</w:t>
      </w:r>
      <w:r w:rsidR="00BA1513">
        <w:rPr>
          <w:rFonts w:ascii="Traditional Arabic" w:hAnsi="Traditional Arabic" w:cs="Traditional Arabic" w:hint="cs"/>
          <w:sz w:val="32"/>
          <w:szCs w:val="32"/>
          <w:rtl/>
        </w:rPr>
        <w:t>رتداد</w:t>
      </w:r>
      <w:r w:rsidR="000E08ED">
        <w:rPr>
          <w:rFonts w:ascii="Traditional Arabic" w:hAnsi="Traditional Arabic" w:cs="Traditional Arabic" w:hint="cs"/>
          <w:sz w:val="32"/>
          <w:szCs w:val="32"/>
          <w:rtl/>
        </w:rPr>
        <w:t>ات ثقافيَّة</w:t>
      </w:r>
      <w:r w:rsidR="006A69B9">
        <w:rPr>
          <w:rFonts w:ascii="Traditional Arabic" w:hAnsi="Traditional Arabic" w:cs="Traditional Arabic" w:hint="cs"/>
          <w:sz w:val="32"/>
          <w:szCs w:val="32"/>
          <w:rtl/>
        </w:rPr>
        <w:t xml:space="preserve"> </w:t>
      </w:r>
      <w:r w:rsidR="00564C99">
        <w:rPr>
          <w:rFonts w:ascii="Traditional Arabic" w:hAnsi="Traditional Arabic" w:cs="Traditional Arabic" w:hint="cs"/>
          <w:sz w:val="32"/>
          <w:szCs w:val="32"/>
          <w:rtl/>
        </w:rPr>
        <w:t>جَسِيمَة، ترمي إلى إحياء الفحولةِ</w:t>
      </w:r>
      <w:r w:rsidR="000E08ED">
        <w:rPr>
          <w:rFonts w:ascii="Traditional Arabic" w:hAnsi="Traditional Arabic" w:cs="Traditional Arabic" w:hint="cs"/>
          <w:sz w:val="32"/>
          <w:szCs w:val="32"/>
          <w:rtl/>
        </w:rPr>
        <w:t xml:space="preserve"> الشعريَّة</w:t>
      </w:r>
      <w:r w:rsidR="00536E44">
        <w:rPr>
          <w:rFonts w:ascii="Traditional Arabic" w:hAnsi="Traditional Arabic" w:cs="Traditional Arabic" w:hint="cs"/>
          <w:sz w:val="32"/>
          <w:szCs w:val="32"/>
          <w:rtl/>
        </w:rPr>
        <w:t xml:space="preserve"> من جديد:</w:t>
      </w:r>
    </w:p>
    <w:p w:rsidR="00313BF0" w:rsidRPr="0047211B" w:rsidRDefault="00E2225E" w:rsidP="00313BF0">
      <w:pPr>
        <w:jc w:val="right"/>
        <w:rPr>
          <w:rFonts w:ascii="Traditional Arabic" w:hAnsi="Traditional Arabic" w:cs="Traditional Arabic"/>
          <w:b/>
          <w:bCs/>
          <w:sz w:val="32"/>
          <w:szCs w:val="32"/>
          <w:rtl/>
        </w:rPr>
      </w:pPr>
      <w:r w:rsidRPr="0047211B">
        <w:rPr>
          <w:rFonts w:ascii="Traditional Arabic" w:hAnsi="Traditional Arabic" w:cs="Traditional Arabic" w:hint="cs"/>
          <w:b/>
          <w:bCs/>
          <w:sz w:val="32"/>
          <w:szCs w:val="32"/>
          <w:rtl/>
        </w:rPr>
        <w:t>"</w:t>
      </w:r>
      <w:r w:rsidR="00536E44" w:rsidRPr="0047211B">
        <w:rPr>
          <w:rFonts w:ascii="Traditional Arabic" w:hAnsi="Traditional Arabic" w:cs="Traditional Arabic" w:hint="cs"/>
          <w:b/>
          <w:bCs/>
          <w:sz w:val="32"/>
          <w:szCs w:val="32"/>
          <w:rtl/>
        </w:rPr>
        <w:t xml:space="preserve">ماذَا نقولُ للشَّاعرِ هذا الرجل الذي يحملُ بينَ رئتيهِ قلبُ اللَّه، </w:t>
      </w:r>
      <w:r w:rsidR="00313BF0" w:rsidRPr="0047211B">
        <w:rPr>
          <w:rFonts w:ascii="Traditional Arabic" w:hAnsi="Traditional Arabic" w:cs="Traditional Arabic" w:hint="cs"/>
          <w:b/>
          <w:bCs/>
          <w:sz w:val="32"/>
          <w:szCs w:val="32"/>
          <w:rtl/>
        </w:rPr>
        <w:t>ويَضطربُ علَى أَصَابِعهِ الجحيم، وكيفَ يُعتذرُ لهذَا الإنسانِ الإله، الذي تُداعبُ أشواقهُ النُّجوم</w:t>
      </w:r>
      <w:r w:rsidRPr="0047211B">
        <w:rPr>
          <w:rFonts w:ascii="Traditional Arabic" w:hAnsi="Traditional Arabic" w:cs="Traditional Arabic" w:hint="cs"/>
          <w:b/>
          <w:bCs/>
          <w:sz w:val="32"/>
          <w:szCs w:val="32"/>
          <w:rtl/>
        </w:rPr>
        <w:t>"</w:t>
      </w:r>
      <w:r w:rsidR="006C5E20" w:rsidRPr="0047211B">
        <w:rPr>
          <w:rStyle w:val="Appelnotedebasdep"/>
          <w:rFonts w:ascii="Traditional Arabic" w:hAnsi="Traditional Arabic" w:cs="Traditional Arabic"/>
          <w:b/>
          <w:bCs/>
          <w:sz w:val="32"/>
          <w:szCs w:val="32"/>
          <w:rtl/>
        </w:rPr>
        <w:footnoteReference w:id="12"/>
      </w:r>
      <w:r w:rsidR="00313BF0" w:rsidRPr="0047211B">
        <w:rPr>
          <w:rFonts w:ascii="Traditional Arabic" w:hAnsi="Traditional Arabic" w:cs="Traditional Arabic" w:hint="cs"/>
          <w:b/>
          <w:bCs/>
          <w:sz w:val="32"/>
          <w:szCs w:val="32"/>
          <w:rtl/>
        </w:rPr>
        <w:t>.</w:t>
      </w:r>
    </w:p>
    <w:p w:rsidR="00003E51" w:rsidRDefault="00313BF0" w:rsidP="00003E51">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706809">
        <w:rPr>
          <w:rFonts w:ascii="Traditional Arabic" w:hAnsi="Traditional Arabic" w:cs="Traditional Arabic" w:hint="cs"/>
          <w:sz w:val="32"/>
          <w:szCs w:val="32"/>
          <w:rtl/>
        </w:rPr>
        <w:t>ينطوي هذا الشَّاهد على معايب نسقيَّة خطيرة منها محاولةُ استدفاعِ الشَّاعر للد</w:t>
      </w:r>
      <w:r w:rsidR="00564C99">
        <w:rPr>
          <w:rFonts w:ascii="Traditional Arabic" w:hAnsi="Traditional Arabic" w:cs="Traditional Arabic" w:hint="cs"/>
          <w:sz w:val="32"/>
          <w:szCs w:val="32"/>
          <w:rtl/>
        </w:rPr>
        <w:t>َّ</w:t>
      </w:r>
      <w:r w:rsidR="00706809">
        <w:rPr>
          <w:rFonts w:ascii="Traditional Arabic" w:hAnsi="Traditional Arabic" w:cs="Traditional Arabic" w:hint="cs"/>
          <w:sz w:val="32"/>
          <w:szCs w:val="32"/>
          <w:rtl/>
        </w:rPr>
        <w:t>وسِ على المحظوراتِ، بتجاوزهِ كلَّ التخومَ التي تفرضها الش</w:t>
      </w:r>
      <w:r w:rsidR="00564C99">
        <w:rPr>
          <w:rFonts w:ascii="Traditional Arabic" w:hAnsi="Traditional Arabic" w:cs="Traditional Arabic" w:hint="cs"/>
          <w:sz w:val="32"/>
          <w:szCs w:val="32"/>
          <w:rtl/>
        </w:rPr>
        <w:t>ّ</w:t>
      </w:r>
      <w:r w:rsidR="00706809">
        <w:rPr>
          <w:rFonts w:ascii="Traditional Arabic" w:hAnsi="Traditional Arabic" w:cs="Traditional Arabic" w:hint="cs"/>
          <w:sz w:val="32"/>
          <w:szCs w:val="32"/>
          <w:rtl/>
        </w:rPr>
        <w:t>ريعةِ</w:t>
      </w:r>
      <w:r w:rsidR="00564C99">
        <w:rPr>
          <w:rFonts w:ascii="Traditional Arabic" w:hAnsi="Traditional Arabic" w:cs="Traditional Arabic" w:hint="cs"/>
          <w:sz w:val="32"/>
          <w:szCs w:val="32"/>
          <w:rtl/>
        </w:rPr>
        <w:t>،</w:t>
      </w:r>
      <w:r w:rsidR="00706809">
        <w:rPr>
          <w:rFonts w:ascii="Traditional Arabic" w:hAnsi="Traditional Arabic" w:cs="Traditional Arabic" w:hint="cs"/>
          <w:sz w:val="32"/>
          <w:szCs w:val="32"/>
          <w:rtl/>
        </w:rPr>
        <w:t xml:space="preserve"> فيستحيلَ وقتئذٍ كائنًا إبداعيَّا متعاليًا لا يخضعَ </w:t>
      </w:r>
      <w:r w:rsidR="00861AEF">
        <w:rPr>
          <w:rFonts w:ascii="Traditional Arabic" w:hAnsi="Traditional Arabic" w:cs="Traditional Arabic" w:hint="cs"/>
          <w:sz w:val="32"/>
          <w:szCs w:val="32"/>
          <w:rtl/>
        </w:rPr>
        <w:t>للنقدِ</w:t>
      </w:r>
      <w:r w:rsidR="00003E51">
        <w:rPr>
          <w:rFonts w:ascii="Traditional Arabic" w:hAnsi="Traditional Arabic" w:cs="Traditional Arabic" w:hint="cs"/>
          <w:sz w:val="32"/>
          <w:szCs w:val="32"/>
          <w:rtl/>
        </w:rPr>
        <w:t>،</w:t>
      </w:r>
      <w:r w:rsidR="00861AEF">
        <w:rPr>
          <w:rFonts w:ascii="Traditional Arabic" w:hAnsi="Traditional Arabic" w:cs="Traditional Arabic" w:hint="cs"/>
          <w:sz w:val="32"/>
          <w:szCs w:val="32"/>
          <w:rtl/>
        </w:rPr>
        <w:t xml:space="preserve"> ما يُعتبر </w:t>
      </w:r>
      <w:r w:rsidR="00003E51">
        <w:rPr>
          <w:rFonts w:ascii="Traditional Arabic" w:hAnsi="Traditional Arabic" w:cs="Traditional Arabic" w:hint="cs"/>
          <w:sz w:val="32"/>
          <w:szCs w:val="32"/>
          <w:rtl/>
        </w:rPr>
        <w:t>تكريسًا لعبوديةٍ مُسترذلة، حيثُ لا سبيلَ للنَّاقِد إلا تجويزَ نصوصِ الشَّاعر لكونِها خطاباتِ ربوبيَّة غيرَ مؤهلةٍ للطعنِ والنقدِ.</w:t>
      </w:r>
    </w:p>
    <w:p w:rsidR="00E203F5" w:rsidRDefault="00003E51" w:rsidP="00B72DD6">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بينما يتحوَّلُ القرَّاء إلى عبيدٍ يوزَّعُ عليهم الشَّاعر صكوكَ الغفران </w:t>
      </w:r>
      <w:r w:rsidR="000E1340">
        <w:rPr>
          <w:rFonts w:ascii="Traditional Arabic" w:hAnsi="Traditional Arabic" w:cs="Traditional Arabic" w:hint="cs"/>
          <w:sz w:val="32"/>
          <w:szCs w:val="32"/>
          <w:rtl/>
        </w:rPr>
        <w:t>أنَّى شاء</w:t>
      </w:r>
      <w:r w:rsidR="00564C99">
        <w:rPr>
          <w:rFonts w:ascii="Traditional Arabic" w:hAnsi="Traditional Arabic" w:cs="Traditional Arabic" w:hint="cs"/>
          <w:sz w:val="32"/>
          <w:szCs w:val="32"/>
          <w:rtl/>
        </w:rPr>
        <w:t>،</w:t>
      </w:r>
      <w:r w:rsidR="000E1340">
        <w:rPr>
          <w:rFonts w:ascii="Traditional Arabic" w:hAnsi="Traditional Arabic" w:cs="Traditional Arabic" w:hint="cs"/>
          <w:sz w:val="32"/>
          <w:szCs w:val="32"/>
          <w:rtl/>
        </w:rPr>
        <w:t xml:space="preserve"> وتصير المرأة واجهة</w:t>
      </w:r>
      <w:r w:rsidR="000E08ED">
        <w:rPr>
          <w:rFonts w:ascii="Traditional Arabic" w:hAnsi="Traditional Arabic" w:cs="Traditional Arabic" w:hint="cs"/>
          <w:sz w:val="32"/>
          <w:szCs w:val="32"/>
          <w:rtl/>
        </w:rPr>
        <w:t xml:space="preserve"> استهلاكيَّة تَعكسُ بِجلاء</w:t>
      </w:r>
      <w:r w:rsidR="00E203F5">
        <w:rPr>
          <w:rFonts w:ascii="Traditional Arabic" w:hAnsi="Traditional Arabic" w:cs="Traditional Arabic" w:hint="cs"/>
          <w:sz w:val="32"/>
          <w:szCs w:val="32"/>
          <w:rtl/>
        </w:rPr>
        <w:t>، الغرائز الذكوريَّة الخبيئة في أقاصي النَّص الشعريِّ</w:t>
      </w:r>
      <w:r w:rsidR="00B72DD6">
        <w:rPr>
          <w:rFonts w:ascii="Traditional Arabic" w:hAnsi="Traditional Arabic" w:cs="Traditional Arabic" w:hint="cs"/>
          <w:sz w:val="32"/>
          <w:szCs w:val="32"/>
          <w:rtl/>
        </w:rPr>
        <w:t xml:space="preserve"> النِّزاريِّ</w:t>
      </w:r>
      <w:r w:rsidR="00E203F5">
        <w:rPr>
          <w:rFonts w:ascii="Traditional Arabic" w:hAnsi="Traditional Arabic" w:cs="Traditional Arabic" w:hint="cs"/>
          <w:sz w:val="32"/>
          <w:szCs w:val="32"/>
          <w:rtl/>
        </w:rPr>
        <w:t>.</w:t>
      </w:r>
    </w:p>
    <w:p w:rsidR="00B72DD6" w:rsidRPr="00B72DD6" w:rsidRDefault="00B72DD6" w:rsidP="00B72DD6">
      <w:pPr>
        <w:jc w:val="right"/>
        <w:rPr>
          <w:rFonts w:ascii="Traditional Arabic" w:hAnsi="Traditional Arabic" w:cs="Traditional Arabic"/>
          <w:b/>
          <w:bCs/>
          <w:sz w:val="32"/>
          <w:szCs w:val="32"/>
          <w:rtl/>
        </w:rPr>
      </w:pPr>
      <w:r w:rsidRPr="00B72DD6">
        <w:rPr>
          <w:rFonts w:ascii="Traditional Arabic" w:hAnsi="Traditional Arabic" w:cs="Traditional Arabic" w:hint="cs"/>
          <w:b/>
          <w:bCs/>
          <w:sz w:val="32"/>
          <w:szCs w:val="32"/>
          <w:rtl/>
        </w:rPr>
        <w:t>إنِّي خَيَّرتُكِ فاختاريِّ.</w:t>
      </w:r>
    </w:p>
    <w:p w:rsidR="00B72DD6" w:rsidRPr="00B72DD6" w:rsidRDefault="00B72DD6" w:rsidP="00B72DD6">
      <w:pPr>
        <w:jc w:val="right"/>
        <w:rPr>
          <w:rFonts w:ascii="Traditional Arabic" w:hAnsi="Traditional Arabic" w:cs="Traditional Arabic"/>
          <w:b/>
          <w:bCs/>
          <w:sz w:val="32"/>
          <w:szCs w:val="32"/>
          <w:rtl/>
        </w:rPr>
      </w:pPr>
      <w:r w:rsidRPr="00B72DD6">
        <w:rPr>
          <w:rFonts w:ascii="Traditional Arabic" w:hAnsi="Traditional Arabic" w:cs="Traditional Arabic" w:hint="cs"/>
          <w:b/>
          <w:bCs/>
          <w:sz w:val="32"/>
          <w:szCs w:val="32"/>
          <w:rtl/>
        </w:rPr>
        <w:t>مَا بينَ الموتِ على صدريِّ.</w:t>
      </w:r>
    </w:p>
    <w:p w:rsidR="00B72DD6" w:rsidRPr="00B72DD6" w:rsidRDefault="00B72DD6" w:rsidP="00B72DD6">
      <w:pPr>
        <w:jc w:val="right"/>
        <w:rPr>
          <w:rFonts w:ascii="Traditional Arabic" w:hAnsi="Traditional Arabic" w:cs="Traditional Arabic"/>
          <w:b/>
          <w:bCs/>
          <w:sz w:val="32"/>
          <w:szCs w:val="32"/>
          <w:rtl/>
        </w:rPr>
      </w:pPr>
      <w:r w:rsidRPr="00B72DD6">
        <w:rPr>
          <w:rFonts w:ascii="Traditional Arabic" w:hAnsi="Traditional Arabic" w:cs="Traditional Arabic" w:hint="cs"/>
          <w:b/>
          <w:bCs/>
          <w:sz w:val="32"/>
          <w:szCs w:val="32"/>
          <w:rtl/>
        </w:rPr>
        <w:t>أو فوقَ دَفاتِرِ أشعاريِّ.</w:t>
      </w:r>
    </w:p>
    <w:p w:rsidR="00536E44" w:rsidRDefault="00B72DD6" w:rsidP="00B72DD6">
      <w:pPr>
        <w:jc w:val="right"/>
        <w:rPr>
          <w:rFonts w:ascii="Traditional Arabic" w:hAnsi="Traditional Arabic" w:cs="Traditional Arabic"/>
          <w:b/>
          <w:bCs/>
          <w:sz w:val="32"/>
          <w:szCs w:val="32"/>
          <w:rtl/>
        </w:rPr>
      </w:pPr>
      <w:r w:rsidRPr="00B72DD6">
        <w:rPr>
          <w:rFonts w:ascii="Traditional Arabic" w:hAnsi="Traditional Arabic" w:cs="Traditional Arabic" w:hint="cs"/>
          <w:b/>
          <w:bCs/>
          <w:sz w:val="32"/>
          <w:szCs w:val="32"/>
          <w:rtl/>
        </w:rPr>
        <w:lastRenderedPageBreak/>
        <w:t>لا تُوجدُ مِنطقةٌ وُسطَى</w:t>
      </w:r>
      <w:r w:rsidR="00BF64A5">
        <w:rPr>
          <w:rFonts w:ascii="Traditional Arabic" w:hAnsi="Traditional Arabic" w:cs="Traditional Arabic" w:hint="cs"/>
          <w:b/>
          <w:bCs/>
          <w:sz w:val="32"/>
          <w:szCs w:val="32"/>
          <w:rtl/>
        </w:rPr>
        <w:t>"</w:t>
      </w:r>
      <w:r w:rsidR="00400745">
        <w:rPr>
          <w:rStyle w:val="Appelnotedebasdep"/>
          <w:rFonts w:ascii="Traditional Arabic" w:hAnsi="Traditional Arabic" w:cs="Traditional Arabic"/>
          <w:b/>
          <w:bCs/>
          <w:sz w:val="32"/>
          <w:szCs w:val="32"/>
          <w:rtl/>
        </w:rPr>
        <w:footnoteReference w:id="13"/>
      </w:r>
      <w:r>
        <w:rPr>
          <w:rFonts w:ascii="Traditional Arabic" w:hAnsi="Traditional Arabic" w:cs="Traditional Arabic" w:hint="cs"/>
          <w:b/>
          <w:bCs/>
          <w:sz w:val="32"/>
          <w:szCs w:val="32"/>
          <w:rtl/>
        </w:rPr>
        <w:t>.</w:t>
      </w:r>
    </w:p>
    <w:p w:rsidR="0064745D" w:rsidRDefault="00B72DD6" w:rsidP="00B8583A">
      <w:pPr>
        <w:jc w:val="right"/>
        <w:rPr>
          <w:rFonts w:ascii="Traditional Arabic" w:hAnsi="Traditional Arabic" w:cs="Traditional Arabic"/>
          <w:sz w:val="32"/>
          <w:szCs w:val="32"/>
          <w:rtl/>
        </w:rPr>
      </w:pPr>
      <w:r w:rsidRPr="00B72DD6">
        <w:rPr>
          <w:rFonts w:ascii="Traditional Arabic" w:hAnsi="Traditional Arabic" w:cs="Traditional Arabic" w:hint="cs"/>
          <w:sz w:val="32"/>
          <w:szCs w:val="32"/>
          <w:rtl/>
        </w:rPr>
        <w:t>فسيرة</w:t>
      </w:r>
      <w:r>
        <w:rPr>
          <w:rFonts w:ascii="Traditional Arabic" w:hAnsi="Traditional Arabic" w:cs="Traditional Arabic" w:hint="cs"/>
          <w:sz w:val="32"/>
          <w:szCs w:val="32"/>
          <w:rtl/>
        </w:rPr>
        <w:t xml:space="preserve"> نزار قبانيِّ علاوة على كبريائِها الجامح الذي يختزلهُ الشَّاهدُ الشعريِّ</w:t>
      </w:r>
      <w:r w:rsidR="001E5DE2">
        <w:rPr>
          <w:rFonts w:ascii="Traditional Arabic" w:hAnsi="Traditional Arabic" w:cs="Traditional Arabic" w:hint="cs"/>
          <w:sz w:val="32"/>
          <w:szCs w:val="32"/>
          <w:rtl/>
        </w:rPr>
        <w:t xml:space="preserve"> الآنِفُ الذِّكرِ،</w:t>
      </w:r>
      <w:r>
        <w:rPr>
          <w:rFonts w:ascii="Traditional Arabic" w:hAnsi="Traditional Arabic" w:cs="Traditional Arabic" w:hint="cs"/>
          <w:sz w:val="32"/>
          <w:szCs w:val="32"/>
          <w:rtl/>
        </w:rPr>
        <w:t xml:space="preserve"> فإنَّها</w:t>
      </w:r>
      <w:r w:rsidR="001E5DE2">
        <w:rPr>
          <w:rFonts w:ascii="Traditional Arabic" w:hAnsi="Traditional Arabic" w:cs="Traditional Arabic" w:hint="cs"/>
          <w:sz w:val="32"/>
          <w:szCs w:val="32"/>
          <w:rtl/>
        </w:rPr>
        <w:t xml:space="preserve"> تصبو إلى نمذجةِ عقيدة شعريَّة انفصاميَّة بصوتِينِ متغايرينِ يتعاركانِ على أطرافِ القصيدة، صوتٌ حداثيِّ بإحداثياتٍ وهميَّة يستعملُ </w:t>
      </w:r>
      <w:r w:rsidR="00B8583A">
        <w:rPr>
          <w:rFonts w:ascii="Traditional Arabic" w:hAnsi="Traditional Arabic" w:cs="Traditional Arabic" w:hint="cs"/>
          <w:sz w:val="32"/>
          <w:szCs w:val="32"/>
          <w:rtl/>
        </w:rPr>
        <w:t xml:space="preserve">ألوانًا مِنَ </w:t>
      </w:r>
      <w:r w:rsidR="001E5DE2">
        <w:rPr>
          <w:rFonts w:ascii="Traditional Arabic" w:hAnsi="Traditional Arabic" w:cs="Traditional Arabic" w:hint="cs"/>
          <w:sz w:val="32"/>
          <w:szCs w:val="32"/>
          <w:rtl/>
        </w:rPr>
        <w:t>المجازاتِ المعاصرة، القرائن اللغويَّة</w:t>
      </w:r>
      <w:r w:rsidR="00085F68">
        <w:rPr>
          <w:rFonts w:ascii="Traditional Arabic" w:hAnsi="Traditional Arabic" w:cs="Traditional Arabic" w:hint="cs"/>
          <w:sz w:val="32"/>
          <w:szCs w:val="32"/>
          <w:rtl/>
        </w:rPr>
        <w:t xml:space="preserve"> المُهادنةِ، الأساليب الرومانسيَّة الموزايةِ لاستمالةِ القرَّاء، وحشدهم ضمن نمط تلقينيِّ </w:t>
      </w:r>
      <w:r w:rsidR="00B8583A">
        <w:rPr>
          <w:rFonts w:ascii="Traditional Arabic" w:hAnsi="Traditional Arabic" w:cs="Traditional Arabic" w:hint="cs"/>
          <w:sz w:val="32"/>
          <w:szCs w:val="32"/>
          <w:rtl/>
        </w:rPr>
        <w:t xml:space="preserve"> ضيِّق</w:t>
      </w:r>
      <w:r w:rsidR="00085F68">
        <w:rPr>
          <w:rFonts w:ascii="Traditional Arabic" w:hAnsi="Traditional Arabic" w:cs="Traditional Arabic" w:hint="cs"/>
          <w:sz w:val="32"/>
          <w:szCs w:val="32"/>
          <w:rtl/>
        </w:rPr>
        <w:t>، وصوت أُحاديِّ مُستتر يهفو إلى انتهاك</w:t>
      </w:r>
      <w:r w:rsidR="00CB55CF">
        <w:rPr>
          <w:rFonts w:ascii="Traditional Arabic" w:hAnsi="Traditional Arabic" w:cs="Traditional Arabic" w:hint="cs"/>
          <w:sz w:val="32"/>
          <w:szCs w:val="32"/>
          <w:rtl/>
        </w:rPr>
        <w:t xml:space="preserve"> عُذريةَ اللُّغة </w:t>
      </w:r>
      <w:r w:rsidR="0064745D">
        <w:rPr>
          <w:rFonts w:ascii="Traditional Arabic" w:hAnsi="Traditional Arabic" w:cs="Traditional Arabic" w:hint="cs"/>
          <w:sz w:val="32"/>
          <w:szCs w:val="32"/>
          <w:rtl/>
        </w:rPr>
        <w:t xml:space="preserve">حتى يَتَسنَّى لهُ نَحتَ شخصيتهِ الفحوليَّة لأنَّ الكلماتِ بنظرهِ ستظلُّ عذراء إلى أن </w:t>
      </w:r>
      <w:r w:rsidR="00B246B9">
        <w:rPr>
          <w:rFonts w:ascii="Traditional Arabic" w:hAnsi="Traditional Arabic" w:cs="Traditional Arabic" w:hint="cs"/>
          <w:sz w:val="32"/>
          <w:szCs w:val="32"/>
          <w:rtl/>
        </w:rPr>
        <w:t>"</w:t>
      </w:r>
      <w:r w:rsidR="0064745D">
        <w:rPr>
          <w:rFonts w:ascii="Traditional Arabic" w:hAnsi="Traditional Arabic" w:cs="Traditional Arabic" w:hint="cs"/>
          <w:sz w:val="32"/>
          <w:szCs w:val="32"/>
          <w:rtl/>
        </w:rPr>
        <w:t>يضاجِعها وحينئِذٍ تَتَعهر وتستحيلَ اللغة الشاعريَّة برمَّتِها إلى محض جاريةٍ خادمةٍ لمشروعِ الشَّاعر الفحوليّ</w:t>
      </w:r>
      <w:r w:rsidR="00B246B9">
        <w:rPr>
          <w:rFonts w:ascii="Traditional Arabic" w:hAnsi="Traditional Arabic" w:cs="Traditional Arabic" w:hint="cs"/>
          <w:sz w:val="32"/>
          <w:szCs w:val="32"/>
          <w:rtl/>
        </w:rPr>
        <w:t>"</w:t>
      </w:r>
      <w:r w:rsidR="0064745D">
        <w:rPr>
          <w:rFonts w:ascii="Traditional Arabic" w:hAnsi="Traditional Arabic" w:cs="Traditional Arabic" w:hint="cs"/>
          <w:sz w:val="32"/>
          <w:szCs w:val="32"/>
          <w:rtl/>
        </w:rPr>
        <w:t>ِ</w:t>
      </w:r>
      <w:r w:rsidR="00B246B9">
        <w:rPr>
          <w:rStyle w:val="Appelnotedebasdep"/>
          <w:rFonts w:ascii="Traditional Arabic" w:hAnsi="Traditional Arabic" w:cs="Traditional Arabic"/>
          <w:sz w:val="32"/>
          <w:szCs w:val="32"/>
          <w:rtl/>
        </w:rPr>
        <w:footnoteReference w:id="14"/>
      </w:r>
      <w:r w:rsidR="0064745D">
        <w:rPr>
          <w:rFonts w:ascii="Traditional Arabic" w:hAnsi="Traditional Arabic" w:cs="Traditional Arabic" w:hint="cs"/>
          <w:sz w:val="32"/>
          <w:szCs w:val="32"/>
          <w:rtl/>
        </w:rPr>
        <w:t>.</w:t>
      </w:r>
    </w:p>
    <w:p w:rsidR="00526D2B" w:rsidRDefault="0064745D" w:rsidP="00526D2B">
      <w:pPr>
        <w:jc w:val="right"/>
        <w:rPr>
          <w:rFonts w:ascii="Traditional Arabic" w:hAnsi="Traditional Arabic" w:cs="Traditional Arabic"/>
          <w:sz w:val="32"/>
          <w:szCs w:val="32"/>
          <w:rtl/>
        </w:rPr>
      </w:pPr>
      <w:r>
        <w:rPr>
          <w:rFonts w:ascii="Traditional Arabic" w:hAnsi="Traditional Arabic" w:cs="Traditional Arabic" w:hint="cs"/>
          <w:sz w:val="32"/>
          <w:szCs w:val="32"/>
          <w:rtl/>
        </w:rPr>
        <w:t>وعودًا على بدء فقد نجح الناقد عبد الله الغذاميِّ في إقامةِ حواريَّة نقديَّة متراميةِ الأطرافِ تسعُ الحداثة والقدامةِ بواسطةِ سلسلةِ من الشَّواهدِ الشعريَّة والنثريَّة،</w:t>
      </w:r>
      <w:r w:rsidR="00526D2B">
        <w:rPr>
          <w:rFonts w:ascii="Traditional Arabic" w:hAnsi="Traditional Arabic" w:cs="Traditional Arabic" w:hint="cs"/>
          <w:sz w:val="32"/>
          <w:szCs w:val="32"/>
          <w:rtl/>
        </w:rPr>
        <w:t xml:space="preserve"> وهذا قصدَ إثارةِ عديدِ القضايا النقديَّة المسكوتِ عنها لمحتَّماتِ ثقافيَّة وسياسيَّة كظاهرةِ التَّفحيلِ، والارتزاقِ بشعريةِ المديحِ وما شابَها من بزوغ ثنائية المادح والممدوح، وتشكُّل الذاتِ الطَّاغيَّة التي تتَّخذُ من ضمير الأنا ملاذا لها لإفشاء عقدها النفسيَّة المَكبوتةِ.</w:t>
      </w:r>
    </w:p>
    <w:p w:rsidR="00C24409" w:rsidRPr="00266ABD" w:rsidRDefault="00266ABD" w:rsidP="00266ABD">
      <w:pPr>
        <w:jc w:val="center"/>
        <w:rPr>
          <w:rFonts w:ascii="Traditional Arabic" w:hAnsi="Traditional Arabic" w:cs="Traditional Arabic"/>
          <w:b/>
          <w:bCs/>
          <w:sz w:val="32"/>
          <w:szCs w:val="32"/>
          <w:u w:val="single"/>
          <w:rtl/>
        </w:rPr>
      </w:pPr>
      <w:r w:rsidRPr="00266ABD">
        <w:rPr>
          <w:rFonts w:ascii="Traditional Arabic" w:hAnsi="Traditional Arabic" w:cs="Traditional Arabic" w:hint="cs"/>
          <w:b/>
          <w:bCs/>
          <w:sz w:val="32"/>
          <w:szCs w:val="32"/>
          <w:u w:val="single"/>
          <w:rtl/>
        </w:rPr>
        <w:t>3/</w:t>
      </w:r>
      <w:r w:rsidR="00EB5968" w:rsidRPr="00266ABD">
        <w:rPr>
          <w:rFonts w:ascii="Traditional Arabic" w:hAnsi="Traditional Arabic" w:cs="Traditional Arabic" w:hint="cs"/>
          <w:b/>
          <w:bCs/>
          <w:sz w:val="32"/>
          <w:szCs w:val="32"/>
          <w:u w:val="single"/>
          <w:rtl/>
        </w:rPr>
        <w:t>الشَّاهد ومناخُ الحداثةِ المَزعوم.</w:t>
      </w:r>
    </w:p>
    <w:p w:rsidR="00EB5968" w:rsidRDefault="00B02C53" w:rsidP="00B02C53">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وليسَ بِدعًا مِن</w:t>
      </w:r>
      <w:r w:rsidR="00B8583A">
        <w:rPr>
          <w:rFonts w:ascii="Traditional Arabic" w:hAnsi="Traditional Arabic" w:cs="Traditional Arabic" w:hint="cs"/>
          <w:sz w:val="32"/>
          <w:szCs w:val="32"/>
          <w:rtl/>
        </w:rPr>
        <w:t xml:space="preserve"> أن</w:t>
      </w:r>
      <w:r w:rsidR="003B6130">
        <w:rPr>
          <w:rFonts w:ascii="Traditional Arabic" w:hAnsi="Traditional Arabic" w:cs="Traditional Arabic" w:hint="cs"/>
          <w:sz w:val="32"/>
          <w:szCs w:val="32"/>
          <w:rtl/>
        </w:rPr>
        <w:t xml:space="preserve"> يَتَضَايَفَ </w:t>
      </w:r>
      <w:r w:rsidR="00B8583A">
        <w:rPr>
          <w:rFonts w:ascii="Traditional Arabic" w:hAnsi="Traditional Arabic" w:cs="Traditional Arabic" w:hint="cs"/>
          <w:sz w:val="32"/>
          <w:szCs w:val="32"/>
          <w:rtl/>
        </w:rPr>
        <w:t>الشَّ</w:t>
      </w:r>
      <w:r>
        <w:rPr>
          <w:rFonts w:ascii="Traditional Arabic" w:hAnsi="Traditional Arabic" w:cs="Traditional Arabic" w:hint="cs"/>
          <w:sz w:val="32"/>
          <w:szCs w:val="32"/>
          <w:rtl/>
        </w:rPr>
        <w:t>اهِدُ معَ كلِّ قراءةِ تجديديَّة يَجترحُها عبد</w:t>
      </w:r>
      <w:r w:rsidR="00B8583A">
        <w:rPr>
          <w:rFonts w:ascii="Traditional Arabic" w:hAnsi="Traditional Arabic" w:cs="Traditional Arabic" w:hint="cs"/>
          <w:sz w:val="32"/>
          <w:szCs w:val="32"/>
          <w:rtl/>
        </w:rPr>
        <w:t xml:space="preserve"> الله الغذاميِّ والتي تتَّصف حتمًا بمعاداةِ القراءاتِ السَّابقة ذاتِ الملمحِ البنيويِّ التي تعقِدُ معيارها الن</w:t>
      </w:r>
      <w:r w:rsidR="00A37F46">
        <w:rPr>
          <w:rFonts w:ascii="Traditional Arabic" w:hAnsi="Traditional Arabic" w:cs="Traditional Arabic" w:hint="cs"/>
          <w:sz w:val="32"/>
          <w:szCs w:val="32"/>
          <w:rtl/>
        </w:rPr>
        <w:t>َّ</w:t>
      </w:r>
      <w:r w:rsidR="00B8583A">
        <w:rPr>
          <w:rFonts w:ascii="Traditional Arabic" w:hAnsi="Traditional Arabic" w:cs="Traditional Arabic" w:hint="cs"/>
          <w:sz w:val="32"/>
          <w:szCs w:val="32"/>
          <w:rtl/>
        </w:rPr>
        <w:t xml:space="preserve">قديِّ على </w:t>
      </w:r>
      <w:r w:rsidR="00A37F46">
        <w:rPr>
          <w:rFonts w:ascii="Traditional Arabic" w:hAnsi="Traditional Arabic" w:cs="Traditional Arabic" w:hint="cs"/>
          <w:sz w:val="32"/>
          <w:szCs w:val="32"/>
          <w:rtl/>
        </w:rPr>
        <w:t>الأصوليةِ الشكليَّة، والتَّخريجِ الصوتيِّ، والتلفيقِ الاستعاريِّ</w:t>
      </w:r>
      <w:r>
        <w:rPr>
          <w:rFonts w:ascii="Traditional Arabic" w:hAnsi="Traditional Arabic" w:cs="Traditional Arabic" w:hint="cs"/>
          <w:sz w:val="32"/>
          <w:szCs w:val="32"/>
          <w:rtl/>
        </w:rPr>
        <w:t>،</w:t>
      </w:r>
      <w:r w:rsidR="00A37F46">
        <w:rPr>
          <w:rFonts w:ascii="Traditional Arabic" w:hAnsi="Traditional Arabic" w:cs="Traditional Arabic" w:hint="cs"/>
          <w:sz w:val="32"/>
          <w:szCs w:val="32"/>
          <w:rtl/>
        </w:rPr>
        <w:t xml:space="preserve"> ولذلكَ انساقت كلُّ الأقلام النقديَّة العربيَّة إلى مُباركةِ شعريَّةِ أبي تمَّام وتقريظِ صورِها البلاغيَّة، وتراكيبِها الأسلوبيَّة الماتِعة، بل واعتبارِ تلكَ التجربة الأدبية بمثابةِ الخرق التقدُّميِّ لرجعيةِ اللُّغة والشِّعر</w:t>
      </w:r>
      <w:r w:rsidR="00EB5968">
        <w:rPr>
          <w:rFonts w:ascii="Traditional Arabic" w:hAnsi="Traditional Arabic" w:cs="Traditional Arabic" w:hint="cs"/>
          <w:sz w:val="32"/>
          <w:szCs w:val="32"/>
          <w:rtl/>
        </w:rPr>
        <w:t xml:space="preserve">. </w:t>
      </w:r>
    </w:p>
    <w:p w:rsidR="00B72DD6" w:rsidRDefault="00945888" w:rsidP="003B6130">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وهذا تبَعًا لِ</w:t>
      </w:r>
      <w:r w:rsidR="00A37F46">
        <w:rPr>
          <w:rFonts w:ascii="Traditional Arabic" w:hAnsi="Traditional Arabic" w:cs="Traditional Arabic" w:hint="cs"/>
          <w:sz w:val="32"/>
          <w:szCs w:val="32"/>
          <w:rtl/>
        </w:rPr>
        <w:t>م</w:t>
      </w:r>
      <w:r>
        <w:rPr>
          <w:rFonts w:ascii="Traditional Arabic" w:hAnsi="Traditional Arabic" w:cs="Traditional Arabic" w:hint="cs"/>
          <w:sz w:val="32"/>
          <w:szCs w:val="32"/>
          <w:rtl/>
        </w:rPr>
        <w:t>َ</w:t>
      </w:r>
      <w:r w:rsidR="00A37F46">
        <w:rPr>
          <w:rFonts w:ascii="Traditional Arabic" w:hAnsi="Traditional Arabic" w:cs="Traditional Arabic" w:hint="cs"/>
          <w:sz w:val="32"/>
          <w:szCs w:val="32"/>
          <w:rtl/>
        </w:rPr>
        <w:t>ا استحدثُه الشَّاعرُ مِنَ</w:t>
      </w:r>
      <w:r w:rsidR="00693836">
        <w:rPr>
          <w:rFonts w:ascii="Traditional Arabic" w:hAnsi="Traditional Arabic" w:cs="Traditional Arabic" w:hint="cs"/>
          <w:sz w:val="32"/>
          <w:szCs w:val="32"/>
          <w:rtl/>
        </w:rPr>
        <w:t xml:space="preserve"> مُبتكراتٍ جديدة في حقلِ الكِتابةِ كالخروجِ عن عمودِ الأوائلِ وتفجيرِ طاقاتِ اللغة </w:t>
      </w:r>
      <w:r w:rsidR="00EB5968">
        <w:rPr>
          <w:rFonts w:ascii="Traditional Arabic" w:hAnsi="Traditional Arabic" w:cs="Traditional Arabic" w:hint="cs"/>
          <w:sz w:val="32"/>
          <w:szCs w:val="32"/>
          <w:rtl/>
        </w:rPr>
        <w:t>وبسطِ توزيناتٍ</w:t>
      </w:r>
      <w:r w:rsidR="00693836">
        <w:rPr>
          <w:rFonts w:ascii="Traditional Arabic" w:hAnsi="Traditional Arabic" w:cs="Traditional Arabic" w:hint="cs"/>
          <w:sz w:val="32"/>
          <w:szCs w:val="32"/>
          <w:rtl/>
        </w:rPr>
        <w:t xml:space="preserve"> إيقاعيَّة تُمازج بينَ الخفَّة في الأداء والبراعةِ في</w:t>
      </w:r>
      <w:r w:rsidR="003B6130">
        <w:rPr>
          <w:rFonts w:ascii="Traditional Arabic" w:hAnsi="Traditional Arabic" w:cs="Traditional Arabic" w:hint="cs"/>
          <w:sz w:val="32"/>
          <w:szCs w:val="32"/>
          <w:rtl/>
        </w:rPr>
        <w:t xml:space="preserve"> </w:t>
      </w:r>
      <w:r w:rsidR="00EB5968">
        <w:rPr>
          <w:rFonts w:ascii="Traditional Arabic" w:hAnsi="Traditional Arabic" w:cs="Traditional Arabic" w:hint="cs"/>
          <w:sz w:val="32"/>
          <w:szCs w:val="32"/>
          <w:rtl/>
        </w:rPr>
        <w:t>التَجنيسِ،</w:t>
      </w:r>
      <w:r w:rsidR="005B2670">
        <w:rPr>
          <w:rFonts w:ascii="Traditional Arabic" w:hAnsi="Traditional Arabic" w:cs="Traditional Arabic" w:hint="cs"/>
          <w:sz w:val="32"/>
          <w:szCs w:val="32"/>
          <w:rtl/>
        </w:rPr>
        <w:t xml:space="preserve"> والإيغالِ في استِحداثِ المعانيِّ المخيَّلة،</w:t>
      </w:r>
      <w:r w:rsidR="00693836">
        <w:rPr>
          <w:rFonts w:ascii="Traditional Arabic" w:hAnsi="Traditional Arabic" w:cs="Traditional Arabic" w:hint="cs"/>
          <w:sz w:val="32"/>
          <w:szCs w:val="32"/>
          <w:rtl/>
        </w:rPr>
        <w:t xml:space="preserve"> </w:t>
      </w:r>
      <w:r w:rsidR="00016107">
        <w:rPr>
          <w:rFonts w:ascii="Traditional Arabic" w:hAnsi="Traditional Arabic" w:cs="Traditional Arabic" w:hint="cs"/>
          <w:sz w:val="32"/>
          <w:szCs w:val="32"/>
          <w:rtl/>
        </w:rPr>
        <w:t>هذا بإجماعِ كلِّ النقادِ القدماء والمعاصرين</w:t>
      </w:r>
      <w:r w:rsidR="006470B9">
        <w:rPr>
          <w:rFonts w:ascii="Traditional Arabic" w:hAnsi="Traditional Arabic" w:cs="Traditional Arabic" w:hint="cs"/>
          <w:sz w:val="32"/>
          <w:szCs w:val="32"/>
          <w:rtl/>
        </w:rPr>
        <w:t xml:space="preserve"> </w:t>
      </w:r>
      <w:r w:rsidR="00016107">
        <w:rPr>
          <w:rFonts w:ascii="Traditional Arabic" w:hAnsi="Traditional Arabic" w:cs="Traditional Arabic" w:hint="cs"/>
          <w:sz w:val="32"/>
          <w:szCs w:val="32"/>
          <w:rtl/>
        </w:rPr>
        <w:t xml:space="preserve">كالآمديِّ </w:t>
      </w:r>
      <w:r w:rsidR="00EB5968">
        <w:rPr>
          <w:rFonts w:ascii="Traditional Arabic" w:hAnsi="Traditional Arabic" w:cs="Traditional Arabic" w:hint="cs"/>
          <w:sz w:val="32"/>
          <w:szCs w:val="32"/>
          <w:rtl/>
        </w:rPr>
        <w:t>والمرزوقيِّ والصوليِّ</w:t>
      </w:r>
      <w:r w:rsidR="00016107">
        <w:rPr>
          <w:rFonts w:ascii="Traditional Arabic" w:hAnsi="Traditional Arabic" w:cs="Traditional Arabic" w:hint="cs"/>
          <w:sz w:val="32"/>
          <w:szCs w:val="32"/>
          <w:rtl/>
        </w:rPr>
        <w:t xml:space="preserve"> وصولا لبدر شاكر السِّياب وأدونيس.</w:t>
      </w:r>
    </w:p>
    <w:p w:rsidR="006470B9" w:rsidRDefault="00016107" w:rsidP="002E43B8">
      <w:pPr>
        <w:jc w:val="right"/>
        <w:rPr>
          <w:rFonts w:ascii="Traditional Arabic" w:hAnsi="Traditional Arabic" w:cs="Traditional Arabic"/>
          <w:sz w:val="32"/>
          <w:szCs w:val="32"/>
          <w:rtl/>
        </w:rPr>
      </w:pPr>
      <w:r>
        <w:rPr>
          <w:rFonts w:ascii="Traditional Arabic" w:hAnsi="Traditional Arabic" w:cs="Traditional Arabic" w:hint="cs"/>
          <w:sz w:val="32"/>
          <w:szCs w:val="32"/>
          <w:rtl/>
        </w:rPr>
        <w:t>بينما يحوزُ النَّاقِدُ عبد الله الغذَّاميِّ على نظرةٍ مغايرة، تتسِّمُ طورًا بالمفارقة، وطورا آخر بالمجازفة، ذلكَ أنَّ أبا تمام شاعرٌ رجعيِّ بأثوابٍ حداثيَّة،</w:t>
      </w:r>
      <w:r w:rsidR="00B60EFF">
        <w:rPr>
          <w:rFonts w:ascii="Traditional Arabic" w:hAnsi="Traditional Arabic" w:cs="Traditional Arabic" w:hint="cs"/>
          <w:sz w:val="32"/>
          <w:szCs w:val="32"/>
          <w:rtl/>
        </w:rPr>
        <w:t xml:space="preserve"> إذ</w:t>
      </w:r>
      <w:r w:rsidR="006470B9">
        <w:rPr>
          <w:rFonts w:ascii="Traditional Arabic" w:hAnsi="Traditional Arabic" w:cs="Traditional Arabic" w:hint="cs"/>
          <w:sz w:val="32"/>
          <w:szCs w:val="32"/>
          <w:rtl/>
        </w:rPr>
        <w:t xml:space="preserve"> مَا برحَ </w:t>
      </w:r>
      <w:r>
        <w:rPr>
          <w:rFonts w:ascii="Traditional Arabic" w:hAnsi="Traditional Arabic" w:cs="Traditional Arabic" w:hint="cs"/>
          <w:sz w:val="32"/>
          <w:szCs w:val="32"/>
          <w:rtl/>
        </w:rPr>
        <w:t>يتزمَّتُ للقدامى ويمتحُ من معينهم المعجميِّ والبلاغيِّ،</w:t>
      </w:r>
      <w:r w:rsidR="00B60EFF">
        <w:rPr>
          <w:rFonts w:ascii="Traditional Arabic" w:hAnsi="Traditional Arabic" w:cs="Traditional Arabic" w:hint="cs"/>
          <w:sz w:val="32"/>
          <w:szCs w:val="32"/>
          <w:rtl/>
        </w:rPr>
        <w:t xml:space="preserve"> ضف إلى ذلكَ</w:t>
      </w:r>
      <w:r w:rsidR="006470B9">
        <w:rPr>
          <w:rFonts w:ascii="Traditional Arabic" w:hAnsi="Traditional Arabic" w:cs="Traditional Arabic" w:hint="cs"/>
          <w:sz w:val="32"/>
          <w:szCs w:val="32"/>
          <w:rtl/>
        </w:rPr>
        <w:t xml:space="preserve"> فمحاكا</w:t>
      </w:r>
      <w:r w:rsidR="002E43B8">
        <w:rPr>
          <w:rFonts w:ascii="Traditional Arabic" w:hAnsi="Traditional Arabic" w:cs="Traditional Arabic" w:hint="cs"/>
          <w:sz w:val="32"/>
          <w:szCs w:val="32"/>
          <w:rtl/>
        </w:rPr>
        <w:t>تُ</w:t>
      </w:r>
      <w:r w:rsidR="00BA6D02">
        <w:rPr>
          <w:rFonts w:ascii="Traditional Arabic" w:hAnsi="Traditional Arabic" w:cs="Traditional Arabic" w:hint="cs"/>
          <w:sz w:val="32"/>
          <w:szCs w:val="32"/>
          <w:rtl/>
        </w:rPr>
        <w:t>ه</w:t>
      </w:r>
      <w:r w:rsidR="002E43B8">
        <w:rPr>
          <w:rFonts w:ascii="Traditional Arabic" w:hAnsi="Traditional Arabic" w:cs="Traditional Arabic" w:hint="cs"/>
          <w:sz w:val="32"/>
          <w:szCs w:val="32"/>
          <w:rtl/>
        </w:rPr>
        <w:t xml:space="preserve"> للأسلافِ </w:t>
      </w:r>
      <w:r w:rsidR="006470B9">
        <w:rPr>
          <w:rFonts w:ascii="Traditional Arabic" w:hAnsi="Traditional Arabic" w:cs="Traditional Arabic" w:hint="cs"/>
          <w:sz w:val="32"/>
          <w:szCs w:val="32"/>
          <w:rtl/>
        </w:rPr>
        <w:t xml:space="preserve">ثاويةٌ </w:t>
      </w:r>
      <w:r w:rsidR="00B60EFF">
        <w:rPr>
          <w:rFonts w:ascii="Traditional Arabic" w:hAnsi="Traditional Arabic" w:cs="Traditional Arabic" w:hint="cs"/>
          <w:sz w:val="32"/>
          <w:szCs w:val="32"/>
          <w:rtl/>
        </w:rPr>
        <w:t>في وجدانهِ، مترسِّخة في مخيالهِ</w:t>
      </w:r>
      <w:r w:rsidR="006470B9">
        <w:rPr>
          <w:rFonts w:ascii="Traditional Arabic" w:hAnsi="Traditional Arabic" w:cs="Traditional Arabic" w:hint="cs"/>
          <w:sz w:val="32"/>
          <w:szCs w:val="32"/>
          <w:rtl/>
        </w:rPr>
        <w:t>، لكن كيفَ تناهى هذا الحكمُ العجائبيِّ إلى الناقِدِ السعوديِّ!</w:t>
      </w:r>
    </w:p>
    <w:p w:rsidR="00B60EFF" w:rsidRDefault="002E43B8" w:rsidP="00BA6D02">
      <w:pPr>
        <w:jc w:val="right"/>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لاشكَّ أنَّ الذي تكفَّل</w:t>
      </w:r>
      <w:r w:rsidR="00BA6D02">
        <w:rPr>
          <w:rFonts w:ascii="Traditional Arabic" w:hAnsi="Traditional Arabic" w:cs="Traditional Arabic" w:hint="cs"/>
          <w:sz w:val="32"/>
          <w:szCs w:val="32"/>
          <w:rtl/>
        </w:rPr>
        <w:t xml:space="preserve"> بتوريدِ</w:t>
      </w:r>
      <w:r>
        <w:rPr>
          <w:rFonts w:ascii="Traditional Arabic" w:hAnsi="Traditional Arabic" w:cs="Traditional Arabic" w:hint="cs"/>
          <w:sz w:val="32"/>
          <w:szCs w:val="32"/>
          <w:rtl/>
        </w:rPr>
        <w:t xml:space="preserve"> هذا الحكم هو الشَّاهدُ البلاغيِّ المتضمِّنِ من كتابِ </w:t>
      </w:r>
      <w:r w:rsidR="00BA6D02">
        <w:rPr>
          <w:rFonts w:ascii="Traditional Arabic" w:hAnsi="Traditional Arabic" w:cs="Traditional Arabic" w:hint="cs"/>
          <w:sz w:val="32"/>
          <w:szCs w:val="32"/>
          <w:rtl/>
        </w:rPr>
        <w:t>الوساطةِ للقاضيِّ عبد العزيز الجرجانيِّ والذيِّ دعَّم به عبد الغذاميِّ رأيهُ:</w:t>
      </w:r>
    </w:p>
    <w:p w:rsidR="00B82108" w:rsidRPr="0047211B" w:rsidRDefault="00E22502" w:rsidP="00B82108">
      <w:pPr>
        <w:jc w:val="right"/>
        <w:rPr>
          <w:rFonts w:ascii="Traditional Arabic" w:hAnsi="Traditional Arabic" w:cs="Traditional Arabic"/>
          <w:b/>
          <w:bCs/>
          <w:sz w:val="32"/>
          <w:szCs w:val="32"/>
          <w:rtl/>
        </w:rPr>
      </w:pPr>
      <w:r w:rsidRPr="0047211B">
        <w:rPr>
          <w:rFonts w:ascii="Traditional Arabic" w:hAnsi="Traditional Arabic" w:cs="Traditional Arabic" w:hint="cs"/>
          <w:b/>
          <w:bCs/>
          <w:sz w:val="32"/>
          <w:szCs w:val="32"/>
          <w:rtl/>
        </w:rPr>
        <w:t>"</w:t>
      </w:r>
      <w:r w:rsidR="003A35C8" w:rsidRPr="0047211B">
        <w:rPr>
          <w:rFonts w:ascii="Traditional Arabic" w:hAnsi="Traditional Arabic" w:cs="Traditional Arabic" w:hint="cs"/>
          <w:b/>
          <w:bCs/>
          <w:sz w:val="32"/>
          <w:szCs w:val="32"/>
          <w:rtl/>
        </w:rPr>
        <w:t xml:space="preserve">إذا سمعتَ هذا أي أشعار أبي تمَّام، فاُسدُد مَسَامِعك، واستنهض ثِيابكَ، وإيَّاكَ والإصغاءِ إليهِ، واحذَر الالتفاتَ نحوهُ، فإنَّهُ ممَّا يُصديِّ القلبَ ويُعميه، </w:t>
      </w:r>
      <w:r w:rsidR="00B82108" w:rsidRPr="0047211B">
        <w:rPr>
          <w:rFonts w:ascii="Traditional Arabic" w:hAnsi="Traditional Arabic" w:cs="Traditional Arabic" w:hint="cs"/>
          <w:b/>
          <w:bCs/>
          <w:sz w:val="32"/>
          <w:szCs w:val="32"/>
          <w:rtl/>
        </w:rPr>
        <w:t>ويُطمِسُ البصيرةَ، ويكِدَّ القريحة</w:t>
      </w:r>
      <w:r w:rsidRPr="0047211B">
        <w:rPr>
          <w:rFonts w:ascii="Traditional Arabic" w:hAnsi="Traditional Arabic" w:cs="Traditional Arabic" w:hint="cs"/>
          <w:b/>
          <w:bCs/>
          <w:sz w:val="32"/>
          <w:szCs w:val="32"/>
          <w:rtl/>
        </w:rPr>
        <w:t>"</w:t>
      </w:r>
      <w:r w:rsidRPr="0047211B">
        <w:rPr>
          <w:rStyle w:val="Appelnotedebasdep"/>
          <w:rFonts w:ascii="Traditional Arabic" w:hAnsi="Traditional Arabic" w:cs="Traditional Arabic"/>
          <w:b/>
          <w:bCs/>
          <w:sz w:val="32"/>
          <w:szCs w:val="32"/>
          <w:rtl/>
        </w:rPr>
        <w:footnoteReference w:id="15"/>
      </w:r>
      <w:r w:rsidR="00B82108" w:rsidRPr="0047211B">
        <w:rPr>
          <w:rFonts w:ascii="Traditional Arabic" w:hAnsi="Traditional Arabic" w:cs="Traditional Arabic" w:hint="cs"/>
          <w:b/>
          <w:bCs/>
          <w:sz w:val="32"/>
          <w:szCs w:val="32"/>
          <w:rtl/>
        </w:rPr>
        <w:t xml:space="preserve">. </w:t>
      </w:r>
    </w:p>
    <w:p w:rsidR="00406243" w:rsidRDefault="00B82108" w:rsidP="00B02C53">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إنَّ التواصي بهذا الشَّاهد ليسَ تدليلا على كُرهِ الغذاميِّ </w:t>
      </w:r>
      <w:r w:rsidR="00522529">
        <w:rPr>
          <w:rFonts w:ascii="Traditional Arabic" w:hAnsi="Traditional Arabic" w:cs="Traditional Arabic" w:hint="cs"/>
          <w:sz w:val="32"/>
          <w:szCs w:val="32"/>
          <w:rtl/>
        </w:rPr>
        <w:t xml:space="preserve">لأبيِّ تمام، أو محاولةِ </w:t>
      </w:r>
      <w:r w:rsidR="006A5F1B">
        <w:rPr>
          <w:rFonts w:ascii="Traditional Arabic" w:hAnsi="Traditional Arabic" w:cs="Traditional Arabic" w:hint="cs"/>
          <w:sz w:val="32"/>
          <w:szCs w:val="32"/>
          <w:rtl/>
        </w:rPr>
        <w:t>استعراض بطوليِّ</w:t>
      </w:r>
      <w:r w:rsidR="00522529">
        <w:rPr>
          <w:rFonts w:ascii="Traditional Arabic" w:hAnsi="Traditional Arabic" w:cs="Traditional Arabic" w:hint="cs"/>
          <w:sz w:val="32"/>
          <w:szCs w:val="32"/>
          <w:rtl/>
        </w:rPr>
        <w:t xml:space="preserve"> على</w:t>
      </w:r>
      <w:r w:rsidR="00B02C53">
        <w:rPr>
          <w:rFonts w:ascii="Traditional Arabic" w:hAnsi="Traditional Arabic" w:cs="Traditional Arabic" w:hint="cs"/>
          <w:sz w:val="32"/>
          <w:szCs w:val="32"/>
          <w:rtl/>
        </w:rPr>
        <w:t xml:space="preserve"> رُكامِ</w:t>
      </w:r>
      <w:r w:rsidR="00522529">
        <w:rPr>
          <w:rFonts w:ascii="Traditional Arabic" w:hAnsi="Traditional Arabic" w:cs="Traditional Arabic" w:hint="cs"/>
          <w:sz w:val="32"/>
          <w:szCs w:val="32"/>
          <w:rtl/>
        </w:rPr>
        <w:t xml:space="preserve"> الت</w:t>
      </w:r>
      <w:r w:rsidR="00B02C53">
        <w:rPr>
          <w:rFonts w:ascii="Traditional Arabic" w:hAnsi="Traditional Arabic" w:cs="Traditional Arabic" w:hint="cs"/>
          <w:sz w:val="32"/>
          <w:szCs w:val="32"/>
          <w:rtl/>
        </w:rPr>
        <w:t>ُّ</w:t>
      </w:r>
      <w:r w:rsidR="00522529">
        <w:rPr>
          <w:rFonts w:ascii="Traditional Arabic" w:hAnsi="Traditional Arabic" w:cs="Traditional Arabic" w:hint="cs"/>
          <w:sz w:val="32"/>
          <w:szCs w:val="32"/>
          <w:rtl/>
        </w:rPr>
        <w:t xml:space="preserve">راثِ، وإنَّما هو رغبته في تَبديدِ تلكَ الأنساقِ الثقافيَّة المنحوتةِ </w:t>
      </w:r>
      <w:r w:rsidR="006A5F1B">
        <w:rPr>
          <w:rFonts w:ascii="Traditional Arabic" w:hAnsi="Traditional Arabic" w:cs="Traditional Arabic" w:hint="cs"/>
          <w:sz w:val="32"/>
          <w:szCs w:val="32"/>
          <w:rtl/>
        </w:rPr>
        <w:t xml:space="preserve">في الذاكرةِ الجماعيَّةِ العربيَّة بقوَّةِ الروايةِ المتوارثة </w:t>
      </w:r>
      <w:r w:rsidR="00A8176C">
        <w:rPr>
          <w:rFonts w:ascii="Traditional Arabic" w:hAnsi="Traditional Arabic" w:cs="Traditional Arabic" w:hint="cs"/>
          <w:sz w:val="32"/>
          <w:szCs w:val="32"/>
          <w:rtl/>
        </w:rPr>
        <w:t>التيِّ تنصاعُ للأحكامِ النَّقديَّة غيرُ معلَّلةِ</w:t>
      </w:r>
      <w:r w:rsidR="00A954BF">
        <w:rPr>
          <w:rFonts w:ascii="Traditional Arabic" w:hAnsi="Traditional Arabic" w:cs="Traditional Arabic" w:hint="cs"/>
          <w:sz w:val="32"/>
          <w:szCs w:val="32"/>
          <w:rtl/>
        </w:rPr>
        <w:t xml:space="preserve">، فتُصيِّرَهَا وهيَ تَحتَ طائِلةَ العمَى الثقافيِّ لمُسلَّماتٍ يقينيَّة لا فكاكَ عنهَا، لكن الأعجب أن تغتديِّ اللغة بِأشكالها البيانيَّة وتفريعاتِها البديعيَّة أداة مخاتلة </w:t>
      </w:r>
      <w:r w:rsidR="005F2138">
        <w:rPr>
          <w:rFonts w:ascii="Traditional Arabic" w:hAnsi="Traditional Arabic" w:cs="Traditional Arabic" w:hint="cs"/>
          <w:sz w:val="32"/>
          <w:szCs w:val="32"/>
          <w:rtl/>
        </w:rPr>
        <w:t>تُسوِّق لحداثةِ مفبركةٍ، فمتى كانَ المجازُ تقويمًا لحداثةٍ بعينِها ، ثمَّ أينَ المعاني الابتكاريَّة، والتوصيفاتِ الإدهاشيَّة، التي تخرجُ عن ربقةِ المناويلِ التعبيريَّة الرَّائجة من هذا الحكم، ولذلكَ سعى عبد الغذامي إلى استتباعِ كلِّ شاهد تراثيِّ بصنوهِ المعاصر كمقولةِ المستشرق البريطانيِّ كارل بروكمان</w:t>
      </w:r>
      <w:r w:rsidR="00D664B4">
        <w:rPr>
          <w:rFonts w:ascii="Traditional Arabic" w:hAnsi="Traditional Arabic" w:cs="Traditional Arabic" w:hint="cs"/>
          <w:sz w:val="32"/>
          <w:szCs w:val="32"/>
          <w:rtl/>
        </w:rPr>
        <w:t xml:space="preserve">: </w:t>
      </w:r>
      <w:r w:rsidR="00AE543F" w:rsidRPr="0047211B">
        <w:rPr>
          <w:rFonts w:ascii="Traditional Arabic" w:hAnsi="Traditional Arabic" w:cs="Traditional Arabic" w:hint="cs"/>
          <w:b/>
          <w:bCs/>
          <w:sz w:val="32"/>
          <w:szCs w:val="32"/>
          <w:rtl/>
        </w:rPr>
        <w:t>"</w:t>
      </w:r>
      <w:r w:rsidR="00406243" w:rsidRPr="0047211B">
        <w:rPr>
          <w:rFonts w:ascii="Traditional Arabic" w:hAnsi="Traditional Arabic" w:cs="Traditional Arabic" w:hint="cs"/>
          <w:b/>
          <w:bCs/>
          <w:sz w:val="32"/>
          <w:szCs w:val="32"/>
          <w:rtl/>
        </w:rPr>
        <w:t>إنَّ أبا تمامٍ يعمدُ إلى تجميع قوافٍ مُعلَّقة، ثُمَّ يشرعُ في صناعةِ أبياتٍ لها</w:t>
      </w:r>
      <w:r w:rsidR="00AE543F" w:rsidRPr="0047211B">
        <w:rPr>
          <w:rFonts w:ascii="Traditional Arabic" w:hAnsi="Traditional Arabic" w:cs="Traditional Arabic" w:hint="cs"/>
          <w:b/>
          <w:bCs/>
          <w:sz w:val="32"/>
          <w:szCs w:val="32"/>
          <w:rtl/>
        </w:rPr>
        <w:t>"</w:t>
      </w:r>
      <w:r w:rsidR="00AE543F" w:rsidRPr="0047211B">
        <w:rPr>
          <w:rStyle w:val="Appelnotedebasdep"/>
          <w:rFonts w:ascii="Traditional Arabic" w:hAnsi="Traditional Arabic" w:cs="Traditional Arabic"/>
          <w:b/>
          <w:bCs/>
          <w:sz w:val="32"/>
          <w:szCs w:val="32"/>
          <w:rtl/>
        </w:rPr>
        <w:footnoteReference w:id="16"/>
      </w:r>
      <w:r w:rsidR="00406243" w:rsidRPr="0047211B">
        <w:rPr>
          <w:rFonts w:ascii="Traditional Arabic" w:hAnsi="Traditional Arabic" w:cs="Traditional Arabic" w:hint="cs"/>
          <w:b/>
          <w:bCs/>
          <w:sz w:val="32"/>
          <w:szCs w:val="32"/>
          <w:rtl/>
        </w:rPr>
        <w:t>.</w:t>
      </w:r>
    </w:p>
    <w:p w:rsidR="0068437E" w:rsidRDefault="00406243" w:rsidP="0068437E">
      <w:pPr>
        <w:jc w:val="right"/>
        <w:rPr>
          <w:rFonts w:ascii="Traditional Arabic" w:hAnsi="Traditional Arabic" w:cs="Traditional Arabic"/>
          <w:sz w:val="32"/>
          <w:szCs w:val="32"/>
          <w:rtl/>
        </w:rPr>
      </w:pPr>
      <w:r>
        <w:rPr>
          <w:rFonts w:ascii="Traditional Arabic" w:hAnsi="Traditional Arabic" w:cs="Traditional Arabic" w:hint="cs"/>
          <w:sz w:val="32"/>
          <w:szCs w:val="32"/>
          <w:rtl/>
        </w:rPr>
        <w:t>وبمقتضى الشَّاهدِ</w:t>
      </w:r>
      <w:r w:rsidR="004578EB">
        <w:rPr>
          <w:rFonts w:ascii="Traditional Arabic" w:hAnsi="Traditional Arabic" w:cs="Traditional Arabic" w:hint="cs"/>
          <w:sz w:val="32"/>
          <w:szCs w:val="32"/>
          <w:rtl/>
        </w:rPr>
        <w:t xml:space="preserve"> أمكنَ لنا تبرير المفارقة العويصة التي اعتورت النَّقد العربيِّ </w:t>
      </w:r>
      <w:r w:rsidR="00804C98">
        <w:rPr>
          <w:rFonts w:ascii="Traditional Arabic" w:hAnsi="Traditional Arabic" w:cs="Traditional Arabic" w:hint="cs"/>
          <w:sz w:val="32"/>
          <w:szCs w:val="32"/>
          <w:rtl/>
        </w:rPr>
        <w:t xml:space="preserve">وهي تحويل القيمِ من معانيها الإنسانيَّة إلى معانٍ شعريَّة، ومن ثمَّ صارت الشبكةُ الأخلاقيَّة تُدار ضمن مدارجِ المقولِ الشعريِّ على زيفهِ المتعمِّد للأحداثِ </w:t>
      </w:r>
      <w:r w:rsidR="0068437E">
        <w:rPr>
          <w:rFonts w:ascii="Traditional Arabic" w:hAnsi="Traditional Arabic" w:cs="Traditional Arabic" w:hint="cs"/>
          <w:sz w:val="32"/>
          <w:szCs w:val="32"/>
          <w:rtl/>
        </w:rPr>
        <w:t>ما ولَّدَ انطباعًا بأنَّ العقل البيانيِّ العربيِّ تُبهرهُ حداثة أبي تمَّام الشكليَّة على توغُّلِهَا في القدامةِ، لكنَّه بالمقابِل لا يقيمُ لأساليبِ أبي تمام الزائغة وزنًا، وهو الذي ضربَ على شعريتهِ ألويةَ التَّكسُّبِ والارتزاق، كما جاء في هذا الشَّاهد:</w:t>
      </w:r>
    </w:p>
    <w:p w:rsidR="0068437E" w:rsidRPr="005B2670" w:rsidRDefault="0068437E" w:rsidP="0037293C">
      <w:pPr>
        <w:jc w:val="right"/>
        <w:rPr>
          <w:rFonts w:ascii="Traditional Arabic" w:hAnsi="Traditional Arabic" w:cs="Traditional Arabic"/>
          <w:b/>
          <w:bCs/>
          <w:sz w:val="32"/>
          <w:szCs w:val="32"/>
          <w:rtl/>
        </w:rPr>
      </w:pPr>
      <w:r w:rsidRPr="005B2670">
        <w:rPr>
          <w:rFonts w:ascii="Traditional Arabic" w:hAnsi="Traditional Arabic" w:cs="Traditional Arabic" w:hint="cs"/>
          <w:b/>
          <w:bCs/>
          <w:sz w:val="32"/>
          <w:szCs w:val="32"/>
          <w:rtl/>
        </w:rPr>
        <w:t xml:space="preserve">                    </w:t>
      </w:r>
      <w:r w:rsidR="005B2670" w:rsidRPr="005B2670">
        <w:rPr>
          <w:rFonts w:ascii="Traditional Arabic" w:hAnsi="Traditional Arabic" w:cs="Traditional Arabic" w:hint="cs"/>
          <w:b/>
          <w:bCs/>
          <w:sz w:val="32"/>
          <w:szCs w:val="32"/>
          <w:rtl/>
        </w:rPr>
        <w:t>باشرتُ أسبَابَ الغِنَى بِمَدائِحٍ</w:t>
      </w:r>
      <w:r w:rsidR="0037293C">
        <w:rPr>
          <w:rFonts w:ascii="Traditional Arabic" w:hAnsi="Traditional Arabic" w:cs="Traditional Arabic" w:hint="cs"/>
          <w:b/>
          <w:bCs/>
          <w:sz w:val="32"/>
          <w:szCs w:val="32"/>
          <w:rtl/>
        </w:rPr>
        <w:t xml:space="preserve">    </w:t>
      </w:r>
      <w:r w:rsidR="005B2670" w:rsidRPr="005B2670">
        <w:rPr>
          <w:rFonts w:ascii="Traditional Arabic" w:hAnsi="Traditional Arabic" w:cs="Traditional Arabic" w:hint="cs"/>
          <w:b/>
          <w:bCs/>
          <w:sz w:val="32"/>
          <w:szCs w:val="32"/>
          <w:rtl/>
        </w:rPr>
        <w:t xml:space="preserve"> ضَربَتْ بِأبوابِ الملوكِ طُبولًا</w:t>
      </w:r>
      <w:r w:rsidR="008C2161">
        <w:rPr>
          <w:rFonts w:ascii="Traditional Arabic" w:hAnsi="Traditional Arabic" w:cs="Traditional Arabic" w:hint="cs"/>
          <w:b/>
          <w:bCs/>
          <w:sz w:val="32"/>
          <w:szCs w:val="32"/>
          <w:rtl/>
        </w:rPr>
        <w:t>"</w:t>
      </w:r>
      <w:r w:rsidR="008C2161">
        <w:rPr>
          <w:rStyle w:val="Appelnotedebasdep"/>
          <w:rFonts w:ascii="Traditional Arabic" w:hAnsi="Traditional Arabic" w:cs="Traditional Arabic"/>
          <w:b/>
          <w:bCs/>
          <w:sz w:val="32"/>
          <w:szCs w:val="32"/>
          <w:rtl/>
        </w:rPr>
        <w:footnoteReference w:id="17"/>
      </w:r>
      <w:r w:rsidR="005B2670" w:rsidRPr="005B2670">
        <w:rPr>
          <w:rFonts w:ascii="Traditional Arabic" w:hAnsi="Traditional Arabic" w:cs="Traditional Arabic" w:hint="cs"/>
          <w:b/>
          <w:bCs/>
          <w:sz w:val="32"/>
          <w:szCs w:val="32"/>
          <w:rtl/>
        </w:rPr>
        <w:t xml:space="preserve">.  </w:t>
      </w:r>
    </w:p>
    <w:p w:rsidR="00EB5968" w:rsidRDefault="0068437E" w:rsidP="00EB5968">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696DBC">
        <w:rPr>
          <w:rFonts w:ascii="Traditional Arabic" w:hAnsi="Traditional Arabic" w:cs="Traditional Arabic" w:hint="cs"/>
          <w:sz w:val="32"/>
          <w:szCs w:val="32"/>
          <w:rtl/>
        </w:rPr>
        <w:t xml:space="preserve">    عَارضَ عبد الله الغذاميِّ التحليلَ الذيِّ قامَ بهِ القاضيِّ الجرجانيِّ لهذا البيتِ الشعريِّ، ذلكَ أنَّهُ اكتفى بالشرحِ </w:t>
      </w:r>
      <w:r w:rsidR="003D40C8">
        <w:rPr>
          <w:rFonts w:ascii="Traditional Arabic" w:hAnsi="Traditional Arabic" w:cs="Traditional Arabic" w:hint="cs"/>
          <w:sz w:val="32"/>
          <w:szCs w:val="32"/>
          <w:rtl/>
        </w:rPr>
        <w:t xml:space="preserve">اللغويِّ، </w:t>
      </w:r>
      <w:r w:rsidR="00696DBC">
        <w:rPr>
          <w:rFonts w:ascii="Traditional Arabic" w:hAnsi="Traditional Arabic" w:cs="Traditional Arabic" w:hint="cs"/>
          <w:sz w:val="32"/>
          <w:szCs w:val="32"/>
          <w:rtl/>
        </w:rPr>
        <w:t xml:space="preserve">والتَّفسير البيانيِّ بينمَا تغافلَ عن دِراستهِ </w:t>
      </w:r>
      <w:r w:rsidR="00C9602F">
        <w:rPr>
          <w:rFonts w:ascii="Traditional Arabic" w:hAnsi="Traditional Arabic" w:cs="Traditional Arabic" w:hint="cs"/>
          <w:sz w:val="32"/>
          <w:szCs w:val="32"/>
          <w:rtl/>
        </w:rPr>
        <w:t>من المنظورِ</w:t>
      </w:r>
      <w:r w:rsidR="00696DBC">
        <w:rPr>
          <w:rFonts w:ascii="Traditional Arabic" w:hAnsi="Traditional Arabic" w:cs="Traditional Arabic" w:hint="cs"/>
          <w:sz w:val="32"/>
          <w:szCs w:val="32"/>
          <w:rtl/>
        </w:rPr>
        <w:t xml:space="preserve"> </w:t>
      </w:r>
      <w:r w:rsidR="00295986">
        <w:rPr>
          <w:rFonts w:ascii="Traditional Arabic" w:hAnsi="Traditional Arabic" w:cs="Traditional Arabic" w:hint="cs"/>
          <w:sz w:val="32"/>
          <w:szCs w:val="32"/>
          <w:rtl/>
        </w:rPr>
        <w:t>الثقافيِّ، فالبيتُ الشعريِّ يحويِّ على مزايداتِ بلاغيَّة شديدة التَّكلُّف، حتَى لكأنَّه باتَ مَقول</w:t>
      </w:r>
      <w:r w:rsidR="00564C99">
        <w:rPr>
          <w:rFonts w:ascii="Traditional Arabic" w:hAnsi="Traditional Arabic" w:cs="Traditional Arabic" w:hint="cs"/>
          <w:sz w:val="32"/>
          <w:szCs w:val="32"/>
          <w:rtl/>
        </w:rPr>
        <w:t>ً</w:t>
      </w:r>
      <w:r w:rsidR="00295986">
        <w:rPr>
          <w:rFonts w:ascii="Traditional Arabic" w:hAnsi="Traditional Arabic" w:cs="Traditional Arabic" w:hint="cs"/>
          <w:sz w:val="32"/>
          <w:szCs w:val="32"/>
          <w:rtl/>
        </w:rPr>
        <w:t>ا استهلاكيًّا يخضعُ لشروطِ السُّوق</w:t>
      </w:r>
      <w:r w:rsidR="003D40C8">
        <w:rPr>
          <w:rFonts w:ascii="Traditional Arabic" w:hAnsi="Traditional Arabic" w:cs="Traditional Arabic" w:hint="cs"/>
          <w:sz w:val="32"/>
          <w:szCs w:val="32"/>
          <w:rtl/>
        </w:rPr>
        <w:t>.</w:t>
      </w:r>
    </w:p>
    <w:p w:rsidR="00EB5968" w:rsidRDefault="00EB5968" w:rsidP="00EB5968">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p w:rsidR="00EB5968" w:rsidRPr="00266ABD" w:rsidRDefault="00266ABD" w:rsidP="00266ABD">
      <w:pPr>
        <w:jc w:val="center"/>
        <w:rPr>
          <w:rFonts w:ascii="Traditional Arabic" w:hAnsi="Traditional Arabic" w:cs="Traditional Arabic"/>
          <w:b/>
          <w:bCs/>
          <w:sz w:val="32"/>
          <w:szCs w:val="32"/>
          <w:u w:val="single"/>
          <w:rtl/>
        </w:rPr>
      </w:pPr>
      <w:r w:rsidRPr="00266ABD">
        <w:rPr>
          <w:rFonts w:ascii="Traditional Arabic" w:hAnsi="Traditional Arabic" w:cs="Traditional Arabic" w:hint="cs"/>
          <w:b/>
          <w:bCs/>
          <w:sz w:val="32"/>
          <w:szCs w:val="32"/>
          <w:u w:val="single"/>
          <w:rtl/>
        </w:rPr>
        <w:lastRenderedPageBreak/>
        <w:t>4/الشَّاهد ومُفارقةِ المتنِ والهَامِش</w:t>
      </w:r>
    </w:p>
    <w:p w:rsidR="0047211B" w:rsidRDefault="002307CF" w:rsidP="00680672">
      <w:pPr>
        <w:jc w:val="right"/>
        <w:rPr>
          <w:rFonts w:ascii="Traditional Arabic" w:hAnsi="Traditional Arabic" w:cs="Traditional Arabic"/>
          <w:b/>
          <w:bCs/>
          <w:sz w:val="32"/>
          <w:szCs w:val="32"/>
          <w:rtl/>
        </w:rPr>
      </w:pPr>
      <w:r>
        <w:rPr>
          <w:rFonts w:ascii="Traditional Arabic" w:hAnsi="Traditional Arabic" w:cs="Traditional Arabic" w:hint="cs"/>
          <w:sz w:val="32"/>
          <w:szCs w:val="32"/>
          <w:rtl/>
        </w:rPr>
        <w:t xml:space="preserve">استرشدَ عبد الغذاميِّ بالنَّص الجاحظِّيِّ كشاهدٍ موثوق يعزِّزُ أطروحتهُ وهو الصراع المضمر بين المتن الذي يُحيلُ إلى الثقافة المؤسَّساتية والهامشِ الذي يومئ إلى الثقافة الشعبيَّة والخطاباتِ المقموعة، ولئن تحايلَ الجاحظُ على قرائهِ بافتعالهِ لسردياتٍ كوميديَّة، ونوادر طريفة، تميلُ المسامرةِ والمفاكهة، إلَّا أنَّ الخوضَ في تفاصيلِها، </w:t>
      </w:r>
      <w:r w:rsidR="00815505">
        <w:rPr>
          <w:rFonts w:ascii="Traditional Arabic" w:hAnsi="Traditional Arabic" w:cs="Traditional Arabic" w:hint="cs"/>
          <w:sz w:val="32"/>
          <w:szCs w:val="32"/>
          <w:rtl/>
        </w:rPr>
        <w:t>واستنكاه مظانِها سنجدُ أنًّ الجاحظ يشرئبُّ إلى الإطاحةِ بالنَّسقِ الثقافيِّ المهمين وبالتالي فهو</w:t>
      </w:r>
      <w:r w:rsidR="000C3D99">
        <w:rPr>
          <w:rFonts w:ascii="Traditional Arabic" w:hAnsi="Traditional Arabic" w:cs="Traditional Arabic" w:hint="cs"/>
          <w:sz w:val="32"/>
          <w:szCs w:val="32"/>
          <w:rtl/>
        </w:rPr>
        <w:t xml:space="preserve"> يستنهضُ خِطابا مخاتلا ، </w:t>
      </w:r>
      <w:r w:rsidR="00725FB1">
        <w:rPr>
          <w:rFonts w:ascii="Traditional Arabic" w:hAnsi="Traditional Arabic" w:cs="Traditional Arabic" w:hint="cs"/>
          <w:sz w:val="32"/>
          <w:szCs w:val="32"/>
          <w:rtl/>
        </w:rPr>
        <w:t>"</w:t>
      </w:r>
      <w:r w:rsidR="000C3D99">
        <w:rPr>
          <w:rFonts w:ascii="Traditional Arabic" w:hAnsi="Traditional Arabic" w:cs="Traditional Arabic" w:hint="cs"/>
          <w:sz w:val="32"/>
          <w:szCs w:val="32"/>
          <w:rtl/>
        </w:rPr>
        <w:t>يَتَّخِذُ من المُضمَرِ وسيلةً للإفصاحِ عنِ المكبوتِ</w:t>
      </w:r>
      <w:r w:rsidR="00725FB1">
        <w:rPr>
          <w:rFonts w:ascii="Traditional Arabic" w:hAnsi="Traditional Arabic" w:cs="Traditional Arabic" w:hint="cs"/>
          <w:sz w:val="32"/>
          <w:szCs w:val="32"/>
          <w:rtl/>
        </w:rPr>
        <w:t>"</w:t>
      </w:r>
      <w:r w:rsidR="00725FB1">
        <w:rPr>
          <w:rStyle w:val="Appelnotedebasdep"/>
          <w:rFonts w:ascii="Traditional Arabic" w:hAnsi="Traditional Arabic" w:cs="Traditional Arabic"/>
          <w:sz w:val="32"/>
          <w:szCs w:val="32"/>
          <w:rtl/>
        </w:rPr>
        <w:footnoteReference w:id="18"/>
      </w:r>
      <w:r w:rsidR="000C3D99">
        <w:rPr>
          <w:rFonts w:ascii="Traditional Arabic" w:hAnsi="Traditional Arabic" w:cs="Traditional Arabic" w:hint="cs"/>
          <w:sz w:val="32"/>
          <w:szCs w:val="32"/>
          <w:rtl/>
        </w:rPr>
        <w:t xml:space="preserve"> والتعريضِ بالنَّسقِ السلطويِّ</w:t>
      </w:r>
      <w:r w:rsidR="00680672">
        <w:rPr>
          <w:rFonts w:ascii="Traditional Arabic" w:hAnsi="Traditional Arabic" w:cs="Traditional Arabic" w:hint="cs"/>
          <w:sz w:val="32"/>
          <w:szCs w:val="32"/>
          <w:rtl/>
        </w:rPr>
        <w:t xml:space="preserve"> مثلَ سردهِ لجوابِ الأعرابيِّ  الذي سُئِل </w:t>
      </w:r>
      <w:r w:rsidR="00680672" w:rsidRPr="0047211B">
        <w:rPr>
          <w:rFonts w:ascii="Traditional Arabic" w:hAnsi="Traditional Arabic" w:cs="Traditional Arabic" w:hint="cs"/>
          <w:b/>
          <w:bCs/>
          <w:sz w:val="32"/>
          <w:szCs w:val="32"/>
          <w:rtl/>
        </w:rPr>
        <w:t xml:space="preserve">: </w:t>
      </w:r>
    </w:p>
    <w:p w:rsidR="00944CB8" w:rsidRDefault="00D772D3" w:rsidP="00680672">
      <w:pPr>
        <w:jc w:val="right"/>
        <w:rPr>
          <w:rFonts w:ascii="Traditional Arabic" w:hAnsi="Traditional Arabic" w:cs="Traditional Arabic"/>
          <w:sz w:val="32"/>
          <w:szCs w:val="32"/>
          <w:rtl/>
        </w:rPr>
      </w:pPr>
      <w:r w:rsidRPr="0047211B">
        <w:rPr>
          <w:rFonts w:ascii="Traditional Arabic" w:hAnsi="Traditional Arabic" w:cs="Traditional Arabic" w:hint="cs"/>
          <w:b/>
          <w:bCs/>
          <w:sz w:val="32"/>
          <w:szCs w:val="32"/>
          <w:rtl/>
        </w:rPr>
        <w:t>"</w:t>
      </w:r>
      <w:r w:rsidR="00680672" w:rsidRPr="0047211B">
        <w:rPr>
          <w:rFonts w:ascii="Traditional Arabic" w:hAnsi="Traditional Arabic" w:cs="Traditional Arabic" w:hint="cs"/>
          <w:b/>
          <w:bCs/>
          <w:sz w:val="32"/>
          <w:szCs w:val="32"/>
          <w:rtl/>
        </w:rPr>
        <w:t>ما تَفاريقِ العصا،</w:t>
      </w:r>
      <w:r w:rsidR="00680672" w:rsidRPr="0047211B">
        <w:rPr>
          <w:rFonts w:ascii="Traditional Arabic" w:hAnsi="Traditional Arabic" w:cs="Traditional Arabic" w:hint="cs"/>
          <w:sz w:val="32"/>
          <w:szCs w:val="32"/>
          <w:rtl/>
        </w:rPr>
        <w:t xml:space="preserve"> فردَّ مُستطردًا</w:t>
      </w:r>
      <w:r w:rsidR="00680672" w:rsidRPr="0047211B">
        <w:rPr>
          <w:rFonts w:ascii="Traditional Arabic" w:hAnsi="Traditional Arabic" w:cs="Traditional Arabic" w:hint="cs"/>
          <w:b/>
          <w:bCs/>
          <w:sz w:val="32"/>
          <w:szCs w:val="32"/>
          <w:rtl/>
        </w:rPr>
        <w:t xml:space="preserve"> :</w:t>
      </w:r>
      <w:r w:rsidR="00944CB8" w:rsidRPr="0047211B">
        <w:rPr>
          <w:rFonts w:ascii="Traditional Arabic" w:hAnsi="Traditional Arabic" w:cs="Traditional Arabic" w:hint="cs"/>
          <w:b/>
          <w:bCs/>
          <w:sz w:val="32"/>
          <w:szCs w:val="32"/>
          <w:rtl/>
        </w:rPr>
        <w:t>العَصَا تُقطعُ ساجورًا، وتُقطعُ عصا السَّاجورِ فتَصيرَ أوتَادًا ، ويُفرقُ الوتدُ فتصيرَ كلُّ قِطعةٍ شظايَا</w:t>
      </w:r>
      <w:r w:rsidRPr="0047211B">
        <w:rPr>
          <w:rFonts w:ascii="Traditional Arabic" w:hAnsi="Traditional Arabic" w:cs="Traditional Arabic" w:hint="cs"/>
          <w:b/>
          <w:bCs/>
          <w:sz w:val="32"/>
          <w:szCs w:val="32"/>
          <w:rtl/>
        </w:rPr>
        <w:t>"</w:t>
      </w:r>
      <w:r w:rsidR="005D4C04" w:rsidRPr="0047211B">
        <w:rPr>
          <w:rStyle w:val="Appelnotedebasdep"/>
          <w:rFonts w:ascii="Traditional Arabic" w:hAnsi="Traditional Arabic" w:cs="Traditional Arabic"/>
          <w:b/>
          <w:bCs/>
          <w:sz w:val="32"/>
          <w:szCs w:val="32"/>
          <w:rtl/>
        </w:rPr>
        <w:footnoteReference w:id="19"/>
      </w:r>
      <w:r w:rsidR="00944CB8" w:rsidRPr="0047211B">
        <w:rPr>
          <w:rFonts w:ascii="Traditional Arabic" w:hAnsi="Traditional Arabic" w:cs="Traditional Arabic" w:hint="cs"/>
          <w:b/>
          <w:bCs/>
          <w:sz w:val="32"/>
          <w:szCs w:val="32"/>
          <w:rtl/>
        </w:rPr>
        <w:t>.</w:t>
      </w:r>
    </w:p>
    <w:p w:rsidR="00167C88" w:rsidRDefault="00944CB8" w:rsidP="005D4C04">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يُعزِّزُ الشَّاهدُ الصراعُ المُحتدَم بينَ الهامشِ والمتنِ، ذلكَ </w:t>
      </w:r>
      <w:r w:rsidR="005D4C04">
        <w:rPr>
          <w:rFonts w:ascii="Traditional Arabic" w:hAnsi="Traditional Arabic" w:cs="Traditional Arabic" w:hint="cs"/>
          <w:sz w:val="32"/>
          <w:szCs w:val="32"/>
          <w:rtl/>
        </w:rPr>
        <w:t>أنَّ العصا</w:t>
      </w:r>
      <w:r>
        <w:rPr>
          <w:rFonts w:ascii="Traditional Arabic" w:hAnsi="Traditional Arabic" w:cs="Traditional Arabic" w:hint="cs"/>
          <w:sz w:val="32"/>
          <w:szCs w:val="32"/>
          <w:rtl/>
        </w:rPr>
        <w:t xml:space="preserve"> </w:t>
      </w:r>
      <w:r w:rsidR="00984CA2">
        <w:rPr>
          <w:rFonts w:ascii="Traditional Arabic" w:hAnsi="Traditional Arabic" w:cs="Traditional Arabic" w:hint="cs"/>
          <w:sz w:val="32"/>
          <w:szCs w:val="32"/>
          <w:rtl/>
        </w:rPr>
        <w:t xml:space="preserve">قيمةٌ فحوليَّة ترمزُ للسؤدُدِ </w:t>
      </w:r>
      <w:r w:rsidR="005D4C04">
        <w:rPr>
          <w:rFonts w:ascii="Traditional Arabic" w:hAnsi="Traditional Arabic" w:cs="Traditional Arabic" w:hint="cs"/>
          <w:sz w:val="32"/>
          <w:szCs w:val="32"/>
          <w:rtl/>
        </w:rPr>
        <w:t>والسُّلطة ولذا</w:t>
      </w:r>
      <w:r w:rsidR="00984CA2">
        <w:rPr>
          <w:rFonts w:ascii="Traditional Arabic" w:hAnsi="Traditional Arabic" w:cs="Traditional Arabic" w:hint="cs"/>
          <w:sz w:val="32"/>
          <w:szCs w:val="32"/>
          <w:rtl/>
        </w:rPr>
        <w:t xml:space="preserve"> ألفينَا الخليفةَ الأمويِّ عبد الملك بن مروان يُقرُّ بمركزيَّتِها الباعثة على الكلامِ: </w:t>
      </w:r>
      <w:r w:rsidR="005D4C04" w:rsidRPr="0047211B">
        <w:rPr>
          <w:rFonts w:ascii="Traditional Arabic" w:hAnsi="Traditional Arabic" w:cs="Traditional Arabic" w:hint="cs"/>
          <w:b/>
          <w:bCs/>
          <w:sz w:val="32"/>
          <w:szCs w:val="32"/>
          <w:rtl/>
        </w:rPr>
        <w:t>"</w:t>
      </w:r>
      <w:r w:rsidR="00167C88" w:rsidRPr="0047211B">
        <w:rPr>
          <w:rFonts w:ascii="Traditional Arabic" w:hAnsi="Traditional Arabic" w:cs="Traditional Arabic" w:hint="cs"/>
          <w:b/>
          <w:bCs/>
          <w:sz w:val="32"/>
          <w:szCs w:val="32"/>
          <w:rtl/>
        </w:rPr>
        <w:t>لو ألقيتَ الخيزرانةَ من يديِّ تكنيةً عن</w:t>
      </w:r>
      <w:r w:rsidR="00167C88">
        <w:rPr>
          <w:rFonts w:ascii="Traditional Arabic" w:hAnsi="Traditional Arabic" w:cs="Traditional Arabic" w:hint="cs"/>
          <w:sz w:val="32"/>
          <w:szCs w:val="32"/>
          <w:rtl/>
        </w:rPr>
        <w:t xml:space="preserve"> </w:t>
      </w:r>
      <w:r w:rsidR="00167C88" w:rsidRPr="0047211B">
        <w:rPr>
          <w:rFonts w:ascii="Traditional Arabic" w:hAnsi="Traditional Arabic" w:cs="Traditional Arabic" w:hint="cs"/>
          <w:b/>
          <w:bCs/>
          <w:sz w:val="32"/>
          <w:szCs w:val="32"/>
          <w:rtl/>
        </w:rPr>
        <w:t>العصَا لذهبَ شطرُ كلاميِّ</w:t>
      </w:r>
      <w:r w:rsidR="005D4C04" w:rsidRPr="0047211B">
        <w:rPr>
          <w:rFonts w:ascii="Traditional Arabic" w:hAnsi="Traditional Arabic" w:cs="Traditional Arabic" w:hint="cs"/>
          <w:b/>
          <w:bCs/>
          <w:sz w:val="32"/>
          <w:szCs w:val="32"/>
          <w:rtl/>
        </w:rPr>
        <w:t>"</w:t>
      </w:r>
      <w:r w:rsidR="005D4C04" w:rsidRPr="0047211B">
        <w:rPr>
          <w:rStyle w:val="Appelnotedebasdep"/>
          <w:rFonts w:ascii="Traditional Arabic" w:hAnsi="Traditional Arabic" w:cs="Traditional Arabic"/>
          <w:b/>
          <w:bCs/>
          <w:sz w:val="32"/>
          <w:szCs w:val="32"/>
          <w:rtl/>
        </w:rPr>
        <w:footnoteReference w:id="20"/>
      </w:r>
      <w:r w:rsidR="00167C88" w:rsidRPr="0047211B">
        <w:rPr>
          <w:rFonts w:ascii="Traditional Arabic" w:hAnsi="Traditional Arabic" w:cs="Traditional Arabic" w:hint="cs"/>
          <w:b/>
          <w:bCs/>
          <w:sz w:val="32"/>
          <w:szCs w:val="32"/>
          <w:rtl/>
        </w:rPr>
        <w:t>.</w:t>
      </w:r>
    </w:p>
    <w:p w:rsidR="003D40C8" w:rsidRDefault="00167C88" w:rsidP="009F0C8D">
      <w:pPr>
        <w:jc w:val="right"/>
        <w:rPr>
          <w:rFonts w:ascii="Traditional Arabic" w:hAnsi="Traditional Arabic" w:cs="Traditional Arabic"/>
          <w:sz w:val="32"/>
          <w:szCs w:val="32"/>
          <w:rtl/>
        </w:rPr>
      </w:pPr>
      <w:r>
        <w:rPr>
          <w:rFonts w:ascii="Traditional Arabic" w:hAnsi="Traditional Arabic" w:cs="Traditional Arabic" w:hint="cs"/>
          <w:sz w:val="32"/>
          <w:szCs w:val="32"/>
          <w:rtl/>
        </w:rPr>
        <w:t>ويبلغُ الصراع ذروتهُ لما تتشظ</w:t>
      </w:r>
      <w:r w:rsidR="0037293C">
        <w:rPr>
          <w:rFonts w:ascii="Traditional Arabic" w:hAnsi="Traditional Arabic" w:cs="Traditional Arabic" w:hint="cs"/>
          <w:sz w:val="32"/>
          <w:szCs w:val="32"/>
          <w:rtl/>
        </w:rPr>
        <w:t>َّ</w:t>
      </w:r>
      <w:r>
        <w:rPr>
          <w:rFonts w:ascii="Traditional Arabic" w:hAnsi="Traditional Arabic" w:cs="Traditional Arabic" w:hint="cs"/>
          <w:sz w:val="32"/>
          <w:szCs w:val="32"/>
          <w:rtl/>
        </w:rPr>
        <w:t>ى العصَا في سياق الحكي إلى سواجير توضعُ في أعناقِ الكلابِ،</w:t>
      </w:r>
      <w:r w:rsidR="00A70993">
        <w:rPr>
          <w:rFonts w:ascii="Traditional Arabic" w:hAnsi="Traditional Arabic" w:cs="Traditional Arabic" w:hint="cs"/>
          <w:sz w:val="32"/>
          <w:szCs w:val="32"/>
          <w:rtl/>
        </w:rPr>
        <w:t xml:space="preserve"> ما يعدُّ ابتذالا للنَّسقِ الس</w:t>
      </w:r>
      <w:r w:rsidR="00365B71">
        <w:rPr>
          <w:rFonts w:ascii="Traditional Arabic" w:hAnsi="Traditional Arabic" w:cs="Traditional Arabic" w:hint="cs"/>
          <w:sz w:val="32"/>
          <w:szCs w:val="32"/>
          <w:rtl/>
        </w:rPr>
        <w:t>ُّ</w:t>
      </w:r>
      <w:r w:rsidR="00A70993">
        <w:rPr>
          <w:rFonts w:ascii="Traditional Arabic" w:hAnsi="Traditional Arabic" w:cs="Traditional Arabic" w:hint="cs"/>
          <w:sz w:val="32"/>
          <w:szCs w:val="32"/>
          <w:rtl/>
        </w:rPr>
        <w:t>لطويِّ وإحلالا للد</w:t>
      </w:r>
      <w:r w:rsidR="00BF64A5">
        <w:rPr>
          <w:rFonts w:ascii="Traditional Arabic" w:hAnsi="Traditional Arabic" w:cs="Traditional Arabic" w:hint="cs"/>
          <w:sz w:val="32"/>
          <w:szCs w:val="32"/>
          <w:rtl/>
        </w:rPr>
        <w:t>ِّ</w:t>
      </w:r>
      <w:r w:rsidR="00A70993">
        <w:rPr>
          <w:rFonts w:ascii="Traditional Arabic" w:hAnsi="Traditional Arabic" w:cs="Traditional Arabic" w:hint="cs"/>
          <w:sz w:val="32"/>
          <w:szCs w:val="32"/>
          <w:rtl/>
        </w:rPr>
        <w:t>لالاتِ المشفِّرة في النَّص التيِّ يؤديِّ تفكيكُ سنَنِها إلى</w:t>
      </w:r>
      <w:r w:rsidR="005E4FEF">
        <w:rPr>
          <w:rFonts w:ascii="Traditional Arabic" w:hAnsi="Traditional Arabic" w:cs="Traditional Arabic" w:hint="cs"/>
          <w:sz w:val="32"/>
          <w:szCs w:val="32"/>
          <w:rtl/>
        </w:rPr>
        <w:t xml:space="preserve"> ميلاد بلاغة جديدة تعضدُ بقَضَايَا الهامش، التي تقوم على رائزيِّ البداهةِ والارتِجال وهذا عبر تأطير</w:t>
      </w:r>
      <w:r w:rsidR="009F0C8D">
        <w:rPr>
          <w:rFonts w:ascii="Traditional Arabic" w:hAnsi="Traditional Arabic" w:cs="Traditional Arabic" w:hint="cs"/>
          <w:sz w:val="32"/>
          <w:szCs w:val="32"/>
          <w:rtl/>
        </w:rPr>
        <w:t xml:space="preserve"> المساحاتِ الإبداعيَّة التي تُخلِّفُها الفضاءاتِ الاجتماعيَّة العامة.</w:t>
      </w:r>
    </w:p>
    <w:p w:rsidR="009F0C8D" w:rsidRDefault="009F0C8D" w:rsidP="009376F8">
      <w:pPr>
        <w:jc w:val="right"/>
        <w:rPr>
          <w:rFonts w:ascii="Traditional Arabic" w:hAnsi="Traditional Arabic" w:cs="Traditional Arabic"/>
          <w:sz w:val="32"/>
          <w:szCs w:val="32"/>
          <w:rtl/>
        </w:rPr>
      </w:pPr>
      <w:r>
        <w:rPr>
          <w:rFonts w:ascii="Traditional Arabic" w:hAnsi="Traditional Arabic" w:cs="Traditional Arabic" w:hint="cs"/>
          <w:sz w:val="32"/>
          <w:szCs w:val="32"/>
          <w:rtl/>
        </w:rPr>
        <w:t>وركحًا على ما تأسَّسَ ذِكرهُ نستنتجُ أنَّ حسنَ تخيُّرِ الشَّاهدِ مع حصافةِ الرؤيةِ النقديَّة، المقرونةِ بقراءاتِ عقلانيَّة مُتأنِّية قد</w:t>
      </w:r>
      <w:r w:rsidR="009376F8">
        <w:rPr>
          <w:rFonts w:ascii="Traditional Arabic" w:hAnsi="Traditional Arabic" w:cs="Traditional Arabic" w:hint="cs"/>
          <w:sz w:val="32"/>
          <w:szCs w:val="32"/>
          <w:rtl/>
        </w:rPr>
        <w:t xml:space="preserve"> سَاعدَت</w:t>
      </w:r>
      <w:r>
        <w:rPr>
          <w:rFonts w:ascii="Traditional Arabic" w:hAnsi="Traditional Arabic" w:cs="Traditional Arabic" w:hint="cs"/>
          <w:sz w:val="32"/>
          <w:szCs w:val="32"/>
          <w:rtl/>
        </w:rPr>
        <w:t xml:space="preserve"> الن</w:t>
      </w:r>
      <w:r w:rsidR="009376F8">
        <w:rPr>
          <w:rFonts w:ascii="Traditional Arabic" w:hAnsi="Traditional Arabic" w:cs="Traditional Arabic" w:hint="cs"/>
          <w:sz w:val="32"/>
          <w:szCs w:val="32"/>
          <w:rtl/>
        </w:rPr>
        <w:t>َّ</w:t>
      </w:r>
      <w:r>
        <w:rPr>
          <w:rFonts w:ascii="Traditional Arabic" w:hAnsi="Traditional Arabic" w:cs="Traditional Arabic" w:hint="cs"/>
          <w:sz w:val="32"/>
          <w:szCs w:val="32"/>
          <w:rtl/>
        </w:rPr>
        <w:t>اقد عبد الله الغذاميِّ</w:t>
      </w:r>
      <w:r w:rsidR="009376F8">
        <w:rPr>
          <w:rFonts w:ascii="Traditional Arabic" w:hAnsi="Traditional Arabic" w:cs="Traditional Arabic" w:hint="cs"/>
          <w:sz w:val="32"/>
          <w:szCs w:val="32"/>
          <w:rtl/>
        </w:rPr>
        <w:t xml:space="preserve"> عَلَى</w:t>
      </w:r>
      <w:r>
        <w:rPr>
          <w:rFonts w:ascii="Traditional Arabic" w:hAnsi="Traditional Arabic" w:cs="Traditional Arabic" w:hint="cs"/>
          <w:sz w:val="32"/>
          <w:szCs w:val="32"/>
          <w:rtl/>
        </w:rPr>
        <w:t xml:space="preserve"> تدويلِ م</w:t>
      </w:r>
      <w:r w:rsidR="009376F8">
        <w:rPr>
          <w:rFonts w:ascii="Traditional Arabic" w:hAnsi="Traditional Arabic" w:cs="Traditional Arabic" w:hint="cs"/>
          <w:sz w:val="32"/>
          <w:szCs w:val="32"/>
          <w:rtl/>
        </w:rPr>
        <w:t>َ</w:t>
      </w:r>
      <w:r>
        <w:rPr>
          <w:rFonts w:ascii="Traditional Arabic" w:hAnsi="Traditional Arabic" w:cs="Traditional Arabic" w:hint="cs"/>
          <w:sz w:val="32"/>
          <w:szCs w:val="32"/>
          <w:rtl/>
        </w:rPr>
        <w:t>نهج</w:t>
      </w:r>
      <w:r w:rsidR="009376F8">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نقديِّ ثقافيِّ يواشِجُ بينَ تيارِ الحداثةِ والأصالةِ، ولكن وفق</w:t>
      </w:r>
      <w:r w:rsidR="00BF64A5">
        <w:rPr>
          <w:rFonts w:ascii="Traditional Arabic" w:hAnsi="Traditional Arabic" w:cs="Traditional Arabic" w:hint="cs"/>
          <w:sz w:val="32"/>
          <w:szCs w:val="32"/>
          <w:rtl/>
        </w:rPr>
        <w:t xml:space="preserve"> فَلسفة تفكيكيَّة،</w:t>
      </w:r>
      <w:r>
        <w:rPr>
          <w:rFonts w:ascii="Traditional Arabic" w:hAnsi="Traditional Arabic" w:cs="Traditional Arabic" w:hint="cs"/>
          <w:sz w:val="32"/>
          <w:szCs w:val="32"/>
          <w:rtl/>
        </w:rPr>
        <w:t xml:space="preserve"> تقوم على تعرية الأنساق الثقافي</w:t>
      </w:r>
      <w:r w:rsidR="009376F8">
        <w:rPr>
          <w:rFonts w:ascii="Traditional Arabic" w:hAnsi="Traditional Arabic" w:cs="Traditional Arabic" w:hint="cs"/>
          <w:sz w:val="32"/>
          <w:szCs w:val="32"/>
          <w:rtl/>
        </w:rPr>
        <w:t>ّ</w:t>
      </w:r>
      <w:r>
        <w:rPr>
          <w:rFonts w:ascii="Traditional Arabic" w:hAnsi="Traditional Arabic" w:cs="Traditional Arabic" w:hint="cs"/>
          <w:sz w:val="32"/>
          <w:szCs w:val="32"/>
          <w:rtl/>
        </w:rPr>
        <w:t>ة المضمرة في الخطاباتِ الش</w:t>
      </w:r>
      <w:r w:rsidR="009376F8">
        <w:rPr>
          <w:rFonts w:ascii="Traditional Arabic" w:hAnsi="Traditional Arabic" w:cs="Traditional Arabic" w:hint="cs"/>
          <w:sz w:val="32"/>
          <w:szCs w:val="32"/>
          <w:rtl/>
        </w:rPr>
        <w:t>ِّ</w:t>
      </w:r>
      <w:r w:rsidR="009B63EE">
        <w:rPr>
          <w:rFonts w:ascii="Traditional Arabic" w:hAnsi="Traditional Arabic" w:cs="Traditional Arabic" w:hint="cs"/>
          <w:sz w:val="32"/>
          <w:szCs w:val="32"/>
          <w:rtl/>
        </w:rPr>
        <w:t>عريَّة والنثريَّة.</w:t>
      </w:r>
      <w:r>
        <w:rPr>
          <w:rFonts w:ascii="Traditional Arabic" w:hAnsi="Traditional Arabic" w:cs="Traditional Arabic" w:hint="cs"/>
          <w:vanish/>
          <w:sz w:val="32"/>
          <w:szCs w:val="32"/>
          <w:rtl/>
        </w:rPr>
        <w:t xml:space="preserve">، المقرونةِ بقراءاتِ عقلنيَّة </w:t>
      </w:r>
      <w:r w:rsidR="001E6AD9">
        <w:rPr>
          <w:rFonts w:ascii="Traditional Arabic" w:hAnsi="Traditional Arabic" w:cs="Traditional Arabic" w:hint="cs"/>
          <w:vanish/>
          <w:sz w:val="32"/>
          <w:szCs w:val="32"/>
          <w:rtl/>
        </w:rPr>
        <w:t xml:space="preserve"> </w:t>
      </w:r>
    </w:p>
    <w:p w:rsidR="00BA6D02" w:rsidRDefault="00295986" w:rsidP="00295986">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E6AD9">
        <w:rPr>
          <w:rFonts w:ascii="Traditional Arabic" w:hAnsi="Traditional Arabic" w:cs="Traditional Arabic" w:hint="cs"/>
          <w:sz w:val="32"/>
          <w:szCs w:val="32"/>
          <w:rtl/>
        </w:rPr>
        <w:t xml:space="preserve">  </w:t>
      </w:r>
    </w:p>
    <w:p w:rsidR="006470B9" w:rsidRDefault="00406243" w:rsidP="00406243">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1E6AD9">
        <w:rPr>
          <w:rFonts w:ascii="Traditional Arabic" w:hAnsi="Traditional Arabic" w:cs="Traditional Arabic" w:hint="cs"/>
          <w:sz w:val="32"/>
          <w:szCs w:val="32"/>
          <w:rtl/>
        </w:rPr>
        <w:t xml:space="preserve"> </w:t>
      </w:r>
    </w:p>
    <w:p w:rsidR="00121C1D" w:rsidRPr="00D822BA" w:rsidRDefault="001E6AD9" w:rsidP="00423367">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p>
    <w:sectPr w:rsidR="00121C1D" w:rsidRPr="00D822BA">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F9A" w:rsidRDefault="00451F9A" w:rsidP="00406243">
      <w:pPr>
        <w:spacing w:after="0" w:line="240" w:lineRule="auto"/>
      </w:pPr>
      <w:r>
        <w:separator/>
      </w:r>
    </w:p>
  </w:endnote>
  <w:endnote w:type="continuationSeparator" w:id="0">
    <w:p w:rsidR="00451F9A" w:rsidRDefault="00451F9A" w:rsidP="0040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330409"/>
      <w:docPartObj>
        <w:docPartGallery w:val="Page Numbers (Bottom of Page)"/>
        <w:docPartUnique/>
      </w:docPartObj>
    </w:sdtPr>
    <w:sdtEndPr/>
    <w:sdtContent>
      <w:p w:rsidR="00406243" w:rsidRDefault="00406243">
        <w:pPr>
          <w:pStyle w:val="Pieddepage"/>
          <w:jc w:val="center"/>
        </w:pPr>
        <w:r>
          <w:fldChar w:fldCharType="begin"/>
        </w:r>
        <w:r>
          <w:instrText>PAGE   \* MERGEFORMAT</w:instrText>
        </w:r>
        <w:r>
          <w:fldChar w:fldCharType="separate"/>
        </w:r>
        <w:r w:rsidR="00764DC6">
          <w:rPr>
            <w:noProof/>
          </w:rPr>
          <w:t>8</w:t>
        </w:r>
        <w:r>
          <w:fldChar w:fldCharType="end"/>
        </w:r>
      </w:p>
    </w:sdtContent>
  </w:sdt>
  <w:p w:rsidR="00406243" w:rsidRDefault="0040624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F9A" w:rsidRDefault="00451F9A" w:rsidP="00406243">
      <w:pPr>
        <w:spacing w:after="0" w:line="240" w:lineRule="auto"/>
      </w:pPr>
      <w:r>
        <w:separator/>
      </w:r>
    </w:p>
  </w:footnote>
  <w:footnote w:type="continuationSeparator" w:id="0">
    <w:p w:rsidR="00451F9A" w:rsidRDefault="00451F9A" w:rsidP="00406243">
      <w:pPr>
        <w:spacing w:after="0" w:line="240" w:lineRule="auto"/>
      </w:pPr>
      <w:r>
        <w:continuationSeparator/>
      </w:r>
    </w:p>
  </w:footnote>
  <w:footnote w:id="1">
    <w:p w:rsidR="009B63EE" w:rsidRPr="00AB023B" w:rsidRDefault="009B63EE" w:rsidP="00AB023B">
      <w:pPr>
        <w:pStyle w:val="Notedebasdepage"/>
        <w:jc w:val="right"/>
        <w:rPr>
          <w:rFonts w:ascii="Traditional Arabic" w:hAnsi="Traditional Arabic" w:cs="Traditional Arabic"/>
          <w:sz w:val="24"/>
          <w:szCs w:val="24"/>
          <w:rtl/>
        </w:rPr>
      </w:pPr>
      <w:r w:rsidRPr="00AB023B">
        <w:rPr>
          <w:rFonts w:ascii="Traditional Arabic" w:hAnsi="Traditional Arabic" w:cs="Traditional Arabic"/>
          <w:sz w:val="24"/>
          <w:szCs w:val="24"/>
          <w:rtl/>
        </w:rPr>
        <w:t xml:space="preserve"> </w:t>
      </w:r>
      <w:r w:rsidRPr="00AB023B">
        <w:rPr>
          <w:rStyle w:val="Appelnotedebasdep"/>
          <w:rFonts w:ascii="Traditional Arabic" w:hAnsi="Traditional Arabic" w:cs="Traditional Arabic"/>
          <w:sz w:val="24"/>
          <w:szCs w:val="24"/>
        </w:rPr>
        <w:footnoteRef/>
      </w:r>
      <w:r w:rsidRPr="00AB023B">
        <w:rPr>
          <w:rFonts w:ascii="Traditional Arabic" w:hAnsi="Traditional Arabic" w:cs="Traditional Arabic"/>
          <w:sz w:val="24"/>
          <w:szCs w:val="24"/>
        </w:rPr>
        <w:t xml:space="preserve"> </w:t>
      </w:r>
      <w:r w:rsidR="00AB023B" w:rsidRPr="00AB023B">
        <w:rPr>
          <w:rFonts w:ascii="Traditional Arabic" w:hAnsi="Traditional Arabic" w:cs="Traditional Arabic"/>
          <w:sz w:val="24"/>
          <w:szCs w:val="24"/>
          <w:rtl/>
        </w:rPr>
        <w:t>الأزهري،</w:t>
      </w:r>
      <w:r w:rsidRPr="00AB023B">
        <w:rPr>
          <w:rFonts w:ascii="Traditional Arabic" w:hAnsi="Traditional Arabic" w:cs="Traditional Arabic"/>
          <w:sz w:val="24"/>
          <w:szCs w:val="24"/>
          <w:rtl/>
        </w:rPr>
        <w:t xml:space="preserve"> معجم تهذيب الل</w:t>
      </w:r>
      <w:r w:rsidR="001E6AD9">
        <w:rPr>
          <w:rFonts w:ascii="Traditional Arabic" w:hAnsi="Traditional Arabic" w:cs="Traditional Arabic" w:hint="cs"/>
          <w:sz w:val="24"/>
          <w:szCs w:val="24"/>
          <w:rtl/>
        </w:rPr>
        <w:t>ّ</w:t>
      </w:r>
      <w:r w:rsidRPr="00AB023B">
        <w:rPr>
          <w:rFonts w:ascii="Traditional Arabic" w:hAnsi="Traditional Arabic" w:cs="Traditional Arabic"/>
          <w:sz w:val="24"/>
          <w:szCs w:val="24"/>
          <w:rtl/>
        </w:rPr>
        <w:t xml:space="preserve">غة، مادة </w:t>
      </w:r>
      <w:r w:rsidR="00AB023B" w:rsidRPr="00AB023B">
        <w:rPr>
          <w:rFonts w:ascii="Traditional Arabic" w:hAnsi="Traditional Arabic" w:cs="Traditional Arabic" w:hint="cs"/>
          <w:sz w:val="24"/>
          <w:szCs w:val="24"/>
          <w:rtl/>
        </w:rPr>
        <w:t>شهد،</w:t>
      </w:r>
      <w:r w:rsidR="00AB023B">
        <w:rPr>
          <w:rFonts w:ascii="Traditional Arabic" w:hAnsi="Traditional Arabic" w:cs="Traditional Arabic" w:hint="cs"/>
          <w:sz w:val="24"/>
          <w:szCs w:val="24"/>
          <w:rtl/>
        </w:rPr>
        <w:t xml:space="preserve"> ج1</w:t>
      </w:r>
      <w:r w:rsidRPr="00AB023B">
        <w:rPr>
          <w:rFonts w:ascii="Traditional Arabic" w:hAnsi="Traditional Arabic" w:cs="Traditional Arabic"/>
          <w:sz w:val="24"/>
          <w:szCs w:val="24"/>
          <w:rtl/>
        </w:rPr>
        <w:t>،</w:t>
      </w:r>
      <w:r w:rsidR="00AB023B">
        <w:rPr>
          <w:rFonts w:ascii="Traditional Arabic" w:hAnsi="Traditional Arabic" w:cs="Traditional Arabic" w:hint="cs"/>
          <w:sz w:val="24"/>
          <w:szCs w:val="24"/>
          <w:rtl/>
        </w:rPr>
        <w:t xml:space="preserve"> تح: محمد عوض،</w:t>
      </w:r>
      <w:r w:rsidRPr="00AB023B">
        <w:rPr>
          <w:rFonts w:ascii="Traditional Arabic" w:hAnsi="Traditional Arabic" w:cs="Traditional Arabic"/>
          <w:sz w:val="24"/>
          <w:szCs w:val="24"/>
          <w:rtl/>
        </w:rPr>
        <w:t xml:space="preserve"> </w:t>
      </w:r>
      <w:r w:rsidR="00A96F6E" w:rsidRPr="00AB023B">
        <w:rPr>
          <w:rFonts w:ascii="Traditional Arabic" w:hAnsi="Traditional Arabic" w:cs="Traditional Arabic"/>
          <w:sz w:val="24"/>
          <w:szCs w:val="24"/>
          <w:rtl/>
        </w:rPr>
        <w:t>دار</w:t>
      </w:r>
      <w:r w:rsidR="00AB023B">
        <w:rPr>
          <w:rFonts w:ascii="Traditional Arabic" w:hAnsi="Traditional Arabic" w:cs="Traditional Arabic" w:hint="cs"/>
          <w:sz w:val="24"/>
          <w:szCs w:val="24"/>
          <w:rtl/>
        </w:rPr>
        <w:t xml:space="preserve"> إحياء التراث العربيِّ</w:t>
      </w:r>
      <w:r w:rsidR="00AB023B" w:rsidRPr="00AB023B">
        <w:rPr>
          <w:rFonts w:ascii="Traditional Arabic" w:hAnsi="Traditional Arabic" w:cs="Traditional Arabic" w:hint="cs"/>
          <w:sz w:val="24"/>
          <w:szCs w:val="24"/>
          <w:rtl/>
        </w:rPr>
        <w:t>،</w:t>
      </w:r>
      <w:r w:rsidR="00A96F6E" w:rsidRPr="00AB023B">
        <w:rPr>
          <w:rFonts w:ascii="Traditional Arabic" w:hAnsi="Traditional Arabic" w:cs="Traditional Arabic"/>
          <w:sz w:val="24"/>
          <w:szCs w:val="24"/>
          <w:rtl/>
        </w:rPr>
        <w:t xml:space="preserve"> </w:t>
      </w:r>
      <w:r w:rsidR="00AB023B" w:rsidRPr="00AB023B">
        <w:rPr>
          <w:rFonts w:ascii="Traditional Arabic" w:hAnsi="Traditional Arabic" w:cs="Traditional Arabic"/>
          <w:sz w:val="24"/>
          <w:szCs w:val="24"/>
          <w:rtl/>
        </w:rPr>
        <w:t>ط</w:t>
      </w:r>
      <w:r w:rsidR="00AB023B">
        <w:rPr>
          <w:rFonts w:ascii="Traditional Arabic" w:hAnsi="Traditional Arabic" w:cs="Traditional Arabic" w:hint="cs"/>
          <w:sz w:val="24"/>
          <w:szCs w:val="24"/>
          <w:rtl/>
        </w:rPr>
        <w:t>1،</w:t>
      </w:r>
      <w:r w:rsidR="00AB023B" w:rsidRPr="00AB023B">
        <w:rPr>
          <w:rFonts w:ascii="Traditional Arabic" w:hAnsi="Traditional Arabic" w:cs="Traditional Arabic"/>
          <w:sz w:val="24"/>
          <w:szCs w:val="24"/>
          <w:rtl/>
        </w:rPr>
        <w:t xml:space="preserve"> </w:t>
      </w:r>
      <w:r w:rsidR="00AB023B" w:rsidRPr="00AB023B">
        <w:rPr>
          <w:rFonts w:ascii="Traditional Arabic" w:hAnsi="Traditional Arabic" w:cs="Traditional Arabic" w:hint="cs"/>
          <w:sz w:val="24"/>
          <w:szCs w:val="24"/>
          <w:rtl/>
        </w:rPr>
        <w:t>200</w:t>
      </w:r>
      <w:r w:rsidR="00AB023B">
        <w:rPr>
          <w:rFonts w:ascii="Traditional Arabic" w:hAnsi="Traditional Arabic" w:cs="Traditional Arabic" w:hint="cs"/>
          <w:sz w:val="24"/>
          <w:szCs w:val="24"/>
          <w:rtl/>
        </w:rPr>
        <w:t>1،</w:t>
      </w:r>
      <w:r w:rsidR="00AB023B" w:rsidRPr="00AB023B">
        <w:rPr>
          <w:rFonts w:ascii="Traditional Arabic" w:hAnsi="Traditional Arabic" w:cs="Traditional Arabic"/>
          <w:sz w:val="24"/>
          <w:szCs w:val="24"/>
          <w:rtl/>
        </w:rPr>
        <w:t xml:space="preserve"> ص 76</w:t>
      </w:r>
    </w:p>
  </w:footnote>
  <w:footnote w:id="2">
    <w:p w:rsidR="009B63EE" w:rsidRDefault="00FA2F68" w:rsidP="00FA2F68">
      <w:pPr>
        <w:pStyle w:val="Notedebasdepage"/>
        <w:jc w:val="right"/>
        <w:rPr>
          <w:rtl/>
        </w:rPr>
      </w:pPr>
      <w:r>
        <w:rPr>
          <w:rFonts w:hint="cs"/>
          <w:rtl/>
        </w:rPr>
        <w:t xml:space="preserve"> </w:t>
      </w:r>
      <w:r w:rsidR="009B63EE" w:rsidRPr="00FA2F68">
        <w:rPr>
          <w:rStyle w:val="Appelnotedebasdep"/>
          <w:rFonts w:ascii="Traditional Arabic" w:hAnsi="Traditional Arabic" w:cs="Traditional Arabic"/>
          <w:sz w:val="24"/>
          <w:szCs w:val="24"/>
        </w:rPr>
        <w:footnoteRef/>
      </w:r>
      <w:r w:rsidR="009B63EE" w:rsidRPr="00FA2F68">
        <w:rPr>
          <w:rFonts w:ascii="Traditional Arabic" w:hAnsi="Traditional Arabic" w:cs="Traditional Arabic"/>
          <w:sz w:val="24"/>
          <w:szCs w:val="24"/>
        </w:rPr>
        <w:t xml:space="preserve"> </w:t>
      </w:r>
      <w:r w:rsidRPr="00FA2F68">
        <w:rPr>
          <w:rFonts w:ascii="Traditional Arabic" w:hAnsi="Traditional Arabic" w:cs="Traditional Arabic"/>
          <w:sz w:val="24"/>
          <w:szCs w:val="24"/>
          <w:rtl/>
        </w:rPr>
        <w:t>ابن فارس، معجم مَقاييس الل</w:t>
      </w:r>
      <w:r w:rsidR="001E6AD9">
        <w:rPr>
          <w:rFonts w:ascii="Traditional Arabic" w:hAnsi="Traditional Arabic" w:cs="Traditional Arabic" w:hint="cs"/>
          <w:sz w:val="24"/>
          <w:szCs w:val="24"/>
          <w:rtl/>
        </w:rPr>
        <w:t>ّ</w:t>
      </w:r>
      <w:r w:rsidRPr="00FA2F68">
        <w:rPr>
          <w:rFonts w:ascii="Traditional Arabic" w:hAnsi="Traditional Arabic" w:cs="Traditional Arabic"/>
          <w:sz w:val="24"/>
          <w:szCs w:val="24"/>
          <w:rtl/>
        </w:rPr>
        <w:t xml:space="preserve">غة، مادة </w:t>
      </w:r>
      <w:r w:rsidRPr="00FA2F68">
        <w:rPr>
          <w:rFonts w:ascii="Traditional Arabic" w:hAnsi="Traditional Arabic" w:cs="Traditional Arabic" w:hint="cs"/>
          <w:sz w:val="24"/>
          <w:szCs w:val="24"/>
          <w:rtl/>
        </w:rPr>
        <w:t>شهد، ج</w:t>
      </w:r>
      <w:r w:rsidRPr="00FA2F68">
        <w:rPr>
          <w:rFonts w:ascii="Traditional Arabic" w:hAnsi="Traditional Arabic" w:cs="Traditional Arabic"/>
          <w:sz w:val="24"/>
          <w:szCs w:val="24"/>
          <w:rtl/>
        </w:rPr>
        <w:t>3، تح: عبد الس</w:t>
      </w:r>
      <w:r w:rsidR="006A69B9">
        <w:rPr>
          <w:rFonts w:ascii="Traditional Arabic" w:hAnsi="Traditional Arabic" w:cs="Traditional Arabic" w:hint="cs"/>
          <w:sz w:val="24"/>
          <w:szCs w:val="24"/>
          <w:rtl/>
        </w:rPr>
        <w:t>ّ</w:t>
      </w:r>
      <w:r w:rsidRPr="00FA2F68">
        <w:rPr>
          <w:rFonts w:ascii="Traditional Arabic" w:hAnsi="Traditional Arabic" w:cs="Traditional Arabic"/>
          <w:sz w:val="24"/>
          <w:szCs w:val="24"/>
          <w:rtl/>
        </w:rPr>
        <w:t>لام هارون، دار الفكر، ط</w:t>
      </w:r>
      <w:r w:rsidRPr="00FA2F68">
        <w:rPr>
          <w:rFonts w:ascii="Traditional Arabic" w:hAnsi="Traditional Arabic" w:cs="Traditional Arabic" w:hint="cs"/>
          <w:sz w:val="24"/>
          <w:szCs w:val="24"/>
          <w:rtl/>
        </w:rPr>
        <w:t>1،</w:t>
      </w:r>
      <w:r w:rsidRPr="00FA2F68">
        <w:rPr>
          <w:rFonts w:ascii="Traditional Arabic" w:hAnsi="Traditional Arabic" w:cs="Traditional Arabic"/>
          <w:sz w:val="24"/>
          <w:szCs w:val="24"/>
          <w:rtl/>
        </w:rPr>
        <w:t xml:space="preserve"> 1979، </w:t>
      </w:r>
      <w:r>
        <w:rPr>
          <w:rFonts w:ascii="Traditional Arabic" w:hAnsi="Traditional Arabic" w:cs="Traditional Arabic" w:hint="cs"/>
          <w:sz w:val="24"/>
          <w:szCs w:val="24"/>
          <w:rtl/>
        </w:rPr>
        <w:t>ص</w:t>
      </w:r>
      <w:r w:rsidRPr="00FA2F68">
        <w:rPr>
          <w:rFonts w:ascii="Traditional Arabic" w:hAnsi="Traditional Arabic" w:cs="Traditional Arabic" w:hint="cs"/>
          <w:sz w:val="24"/>
          <w:szCs w:val="24"/>
          <w:rtl/>
        </w:rPr>
        <w:t>224</w:t>
      </w:r>
      <w:r>
        <w:rPr>
          <w:rFonts w:hint="cs"/>
          <w:rtl/>
        </w:rPr>
        <w:t xml:space="preserve">. </w:t>
      </w:r>
    </w:p>
  </w:footnote>
  <w:footnote w:id="3">
    <w:p w:rsidR="00EF2246" w:rsidRPr="00EF2246" w:rsidRDefault="00EF2246" w:rsidP="00750C02">
      <w:pPr>
        <w:pStyle w:val="Notedebasdepage"/>
        <w:jc w:val="right"/>
        <w:rPr>
          <w:rFonts w:ascii="Traditional Arabic" w:hAnsi="Traditional Arabic" w:cs="Traditional Arabic"/>
          <w:sz w:val="24"/>
          <w:szCs w:val="24"/>
          <w:rtl/>
        </w:rPr>
      </w:pPr>
      <w:r>
        <w:rPr>
          <w:rFonts w:hint="cs"/>
          <w:rtl/>
        </w:rPr>
        <w:t xml:space="preserve"> </w:t>
      </w:r>
      <w:r w:rsidRPr="00750C02">
        <w:rPr>
          <w:rStyle w:val="Appelnotedebasdep"/>
          <w:rFonts w:ascii="Traditional Arabic" w:hAnsi="Traditional Arabic" w:cs="Traditional Arabic"/>
          <w:sz w:val="24"/>
          <w:szCs w:val="24"/>
        </w:rPr>
        <w:footnoteRef/>
      </w:r>
      <w:r w:rsidRPr="00750C02">
        <w:rPr>
          <w:rFonts w:ascii="Traditional Arabic" w:hAnsi="Traditional Arabic" w:cs="Traditional Arabic"/>
          <w:sz w:val="24"/>
          <w:szCs w:val="24"/>
        </w:rPr>
        <w:t xml:space="preserve"> </w:t>
      </w:r>
      <w:r w:rsidR="00750C02">
        <w:rPr>
          <w:rFonts w:ascii="Traditional Arabic" w:hAnsi="Traditional Arabic" w:cs="Traditional Arabic" w:hint="cs"/>
          <w:sz w:val="24"/>
          <w:szCs w:val="24"/>
          <w:rtl/>
        </w:rPr>
        <w:t xml:space="preserve">ابن </w:t>
      </w:r>
      <w:r w:rsidRPr="00750C02">
        <w:rPr>
          <w:rFonts w:ascii="Traditional Arabic" w:hAnsi="Traditional Arabic" w:cs="Traditional Arabic"/>
          <w:sz w:val="24"/>
          <w:szCs w:val="24"/>
          <w:rtl/>
        </w:rPr>
        <w:t xml:space="preserve">جرير الطَّبري، </w:t>
      </w:r>
      <w:r w:rsidR="00750C02" w:rsidRPr="00750C02">
        <w:rPr>
          <w:rFonts w:ascii="Traditional Arabic" w:hAnsi="Traditional Arabic" w:cs="Traditional Arabic" w:hint="cs"/>
          <w:sz w:val="24"/>
          <w:szCs w:val="24"/>
          <w:rtl/>
        </w:rPr>
        <w:t xml:space="preserve">تفسير </w:t>
      </w:r>
      <w:r w:rsidR="00750C02">
        <w:rPr>
          <w:rFonts w:ascii="Traditional Arabic" w:hAnsi="Traditional Arabic" w:cs="Traditional Arabic" w:hint="cs"/>
          <w:sz w:val="24"/>
          <w:szCs w:val="24"/>
          <w:rtl/>
        </w:rPr>
        <w:t>الطبري</w:t>
      </w:r>
      <w:r w:rsidR="00750C02" w:rsidRPr="00750C02">
        <w:rPr>
          <w:rFonts w:ascii="Traditional Arabic" w:hAnsi="Traditional Arabic" w:cs="Traditional Arabic" w:hint="cs"/>
          <w:sz w:val="24"/>
          <w:szCs w:val="24"/>
          <w:rtl/>
        </w:rPr>
        <w:t>،</w:t>
      </w:r>
      <w:r w:rsidR="00750C02" w:rsidRPr="00750C02">
        <w:rPr>
          <w:rFonts w:ascii="Traditional Arabic" w:hAnsi="Traditional Arabic" w:cs="Traditional Arabic"/>
          <w:sz w:val="24"/>
          <w:szCs w:val="24"/>
          <w:rtl/>
        </w:rPr>
        <w:t xml:space="preserve"> دار</w:t>
      </w:r>
      <w:r w:rsidR="00750C02">
        <w:rPr>
          <w:rFonts w:ascii="Traditional Arabic" w:hAnsi="Traditional Arabic" w:cs="Traditional Arabic" w:hint="cs"/>
          <w:sz w:val="24"/>
          <w:szCs w:val="24"/>
          <w:rtl/>
        </w:rPr>
        <w:t xml:space="preserve"> ابن</w:t>
      </w:r>
      <w:r w:rsidR="00750C02" w:rsidRPr="00750C02">
        <w:rPr>
          <w:rFonts w:ascii="Traditional Arabic" w:hAnsi="Traditional Arabic" w:cs="Traditional Arabic"/>
          <w:sz w:val="24"/>
          <w:szCs w:val="24"/>
          <w:rtl/>
        </w:rPr>
        <w:t xml:space="preserve"> الهيثم، القاهرة، ط</w:t>
      </w:r>
      <w:proofErr w:type="gramStart"/>
      <w:r w:rsidR="00750C02" w:rsidRPr="00750C02">
        <w:rPr>
          <w:rFonts w:ascii="Traditional Arabic" w:hAnsi="Traditional Arabic" w:cs="Traditional Arabic" w:hint="cs"/>
          <w:sz w:val="24"/>
          <w:szCs w:val="24"/>
          <w:rtl/>
        </w:rPr>
        <w:t>1،</w:t>
      </w:r>
      <w:r w:rsidR="00750C02" w:rsidRPr="00750C02">
        <w:rPr>
          <w:rFonts w:ascii="Traditional Arabic" w:hAnsi="Traditional Arabic" w:cs="Traditional Arabic"/>
          <w:sz w:val="24"/>
          <w:szCs w:val="24"/>
          <w:rtl/>
        </w:rPr>
        <w:t xml:space="preserve"> </w:t>
      </w:r>
      <w:r w:rsidR="00750C02">
        <w:rPr>
          <w:rFonts w:ascii="Traditional Arabic" w:hAnsi="Traditional Arabic" w:cs="Traditional Arabic" w:hint="cs"/>
          <w:sz w:val="24"/>
          <w:szCs w:val="24"/>
          <w:rtl/>
        </w:rPr>
        <w:t xml:space="preserve"> 2004</w:t>
      </w:r>
      <w:proofErr w:type="gramEnd"/>
      <w:r w:rsidR="00750C02">
        <w:rPr>
          <w:rFonts w:ascii="Traditional Arabic" w:hAnsi="Traditional Arabic" w:cs="Traditional Arabic" w:hint="cs"/>
          <w:sz w:val="24"/>
          <w:szCs w:val="24"/>
          <w:rtl/>
        </w:rPr>
        <w:t xml:space="preserve"> </w:t>
      </w:r>
      <w:r w:rsidR="00750C02" w:rsidRPr="00750C02">
        <w:rPr>
          <w:rFonts w:ascii="Traditional Arabic" w:hAnsi="Traditional Arabic" w:cs="Traditional Arabic" w:hint="cs"/>
          <w:sz w:val="24"/>
          <w:szCs w:val="24"/>
          <w:rtl/>
        </w:rPr>
        <w:t>، ص</w:t>
      </w:r>
      <w:r w:rsidR="00750C02" w:rsidRPr="00750C02">
        <w:rPr>
          <w:rFonts w:ascii="Traditional Arabic" w:hAnsi="Traditional Arabic" w:cs="Traditional Arabic"/>
          <w:sz w:val="24"/>
          <w:szCs w:val="24"/>
          <w:rtl/>
        </w:rPr>
        <w:t xml:space="preserve"> </w:t>
      </w:r>
      <w:r w:rsidR="00750C02" w:rsidRPr="00750C02">
        <w:rPr>
          <w:rFonts w:ascii="Traditional Arabic" w:hAnsi="Traditional Arabic" w:cs="Traditional Arabic" w:hint="cs"/>
          <w:sz w:val="24"/>
          <w:szCs w:val="24"/>
          <w:rtl/>
        </w:rPr>
        <w:t>590</w:t>
      </w:r>
      <w:r w:rsidR="00750C02">
        <w:rPr>
          <w:rFonts w:hint="cs"/>
          <w:rtl/>
        </w:rPr>
        <w:t>.</w:t>
      </w:r>
    </w:p>
  </w:footnote>
  <w:footnote w:id="4">
    <w:p w:rsidR="00750C02" w:rsidRPr="004E3ADF" w:rsidRDefault="00750C02" w:rsidP="00F725D6">
      <w:pPr>
        <w:pStyle w:val="Notedebasdepage"/>
        <w:jc w:val="right"/>
        <w:rPr>
          <w:rFonts w:ascii="Traditional Arabic" w:hAnsi="Traditional Arabic" w:cs="Traditional Arabic"/>
          <w:sz w:val="24"/>
          <w:szCs w:val="24"/>
          <w:rtl/>
        </w:rPr>
      </w:pPr>
      <w:r>
        <w:rPr>
          <w:rFonts w:hint="cs"/>
          <w:rtl/>
        </w:rPr>
        <w:t xml:space="preserve"> </w:t>
      </w:r>
      <w:r w:rsidRPr="004E3ADF">
        <w:rPr>
          <w:rStyle w:val="Appelnotedebasdep"/>
          <w:rFonts w:ascii="Traditional Arabic" w:hAnsi="Traditional Arabic" w:cs="Traditional Arabic"/>
          <w:sz w:val="24"/>
          <w:szCs w:val="24"/>
        </w:rPr>
        <w:footnoteRef/>
      </w:r>
      <w:r w:rsidRPr="004E3ADF">
        <w:rPr>
          <w:rFonts w:ascii="Traditional Arabic" w:hAnsi="Traditional Arabic" w:cs="Traditional Arabic"/>
          <w:sz w:val="24"/>
          <w:szCs w:val="24"/>
        </w:rPr>
        <w:t xml:space="preserve"> </w:t>
      </w:r>
      <w:r w:rsidRPr="004E3ADF">
        <w:rPr>
          <w:rFonts w:ascii="Traditional Arabic" w:hAnsi="Traditional Arabic" w:cs="Traditional Arabic"/>
          <w:sz w:val="24"/>
          <w:szCs w:val="24"/>
          <w:rtl/>
        </w:rPr>
        <w:t xml:space="preserve">الجاحظ، </w:t>
      </w:r>
      <w:r w:rsidR="004E3ADF" w:rsidRPr="004E3ADF">
        <w:rPr>
          <w:rFonts w:ascii="Traditional Arabic" w:hAnsi="Traditional Arabic" w:cs="Traditional Arabic"/>
          <w:sz w:val="24"/>
          <w:szCs w:val="24"/>
          <w:rtl/>
        </w:rPr>
        <w:t xml:space="preserve">البيان </w:t>
      </w:r>
      <w:r w:rsidR="005544F5" w:rsidRPr="004E3ADF">
        <w:rPr>
          <w:rFonts w:ascii="Traditional Arabic" w:hAnsi="Traditional Arabic" w:cs="Traditional Arabic" w:hint="cs"/>
          <w:sz w:val="24"/>
          <w:szCs w:val="24"/>
          <w:rtl/>
        </w:rPr>
        <w:t>والت</w:t>
      </w:r>
      <w:r w:rsidR="006A69B9">
        <w:rPr>
          <w:rFonts w:ascii="Traditional Arabic" w:hAnsi="Traditional Arabic" w:cs="Traditional Arabic" w:hint="cs"/>
          <w:sz w:val="24"/>
          <w:szCs w:val="24"/>
          <w:rtl/>
        </w:rPr>
        <w:t>ّ</w:t>
      </w:r>
      <w:r w:rsidR="005544F5" w:rsidRPr="004E3ADF">
        <w:rPr>
          <w:rFonts w:ascii="Traditional Arabic" w:hAnsi="Traditional Arabic" w:cs="Traditional Arabic" w:hint="cs"/>
          <w:sz w:val="24"/>
          <w:szCs w:val="24"/>
          <w:rtl/>
        </w:rPr>
        <w:t>بيين،</w:t>
      </w:r>
      <w:r w:rsidR="005544F5">
        <w:rPr>
          <w:rFonts w:ascii="Traditional Arabic" w:hAnsi="Traditional Arabic" w:cs="Traditional Arabic" w:hint="cs"/>
          <w:sz w:val="24"/>
          <w:szCs w:val="24"/>
          <w:rtl/>
        </w:rPr>
        <w:t xml:space="preserve"> ج3، تح: علي بوملحم، مكتبة الهلال، لبنان،</w:t>
      </w:r>
      <w:r w:rsidR="00F725D6">
        <w:rPr>
          <w:rFonts w:ascii="Traditional Arabic" w:hAnsi="Traditional Arabic" w:cs="Traditional Arabic" w:hint="cs"/>
          <w:sz w:val="24"/>
          <w:szCs w:val="24"/>
          <w:rtl/>
        </w:rPr>
        <w:t xml:space="preserve"> ط2،</w:t>
      </w:r>
      <w:r w:rsidR="005544F5">
        <w:rPr>
          <w:rFonts w:ascii="Traditional Arabic" w:hAnsi="Traditional Arabic" w:cs="Traditional Arabic" w:hint="cs"/>
          <w:sz w:val="24"/>
          <w:szCs w:val="24"/>
          <w:rtl/>
        </w:rPr>
        <w:t xml:space="preserve"> 2002</w:t>
      </w:r>
      <w:r w:rsidR="00F725D6">
        <w:rPr>
          <w:rFonts w:ascii="Traditional Arabic" w:hAnsi="Traditional Arabic" w:cs="Traditional Arabic" w:hint="cs"/>
          <w:sz w:val="24"/>
          <w:szCs w:val="24"/>
          <w:rtl/>
        </w:rPr>
        <w:t>،</w:t>
      </w:r>
      <w:r w:rsidR="005544F5">
        <w:rPr>
          <w:rFonts w:ascii="Traditional Arabic" w:hAnsi="Traditional Arabic" w:cs="Traditional Arabic" w:hint="cs"/>
          <w:sz w:val="24"/>
          <w:szCs w:val="24"/>
          <w:rtl/>
        </w:rPr>
        <w:t xml:space="preserve"> ص 21. </w:t>
      </w:r>
    </w:p>
  </w:footnote>
  <w:footnote w:id="5">
    <w:p w:rsidR="00AA710A" w:rsidRPr="00AA710A" w:rsidRDefault="00AA710A" w:rsidP="00AA710A">
      <w:pPr>
        <w:pStyle w:val="Notedebasdepage"/>
        <w:jc w:val="right"/>
        <w:rPr>
          <w:rFonts w:ascii="Traditional Arabic" w:hAnsi="Traditional Arabic" w:cs="Traditional Arabic"/>
          <w:sz w:val="24"/>
          <w:szCs w:val="24"/>
          <w:rtl/>
        </w:rPr>
      </w:pPr>
      <w:r w:rsidRPr="00AA710A">
        <w:rPr>
          <w:rFonts w:ascii="Traditional Arabic" w:hAnsi="Traditional Arabic" w:cs="Traditional Arabic"/>
          <w:sz w:val="24"/>
          <w:szCs w:val="24"/>
          <w:rtl/>
        </w:rPr>
        <w:t xml:space="preserve"> </w:t>
      </w:r>
      <w:r w:rsidRPr="00AA710A">
        <w:rPr>
          <w:rStyle w:val="Appelnotedebasdep"/>
          <w:rFonts w:ascii="Traditional Arabic" w:hAnsi="Traditional Arabic" w:cs="Traditional Arabic"/>
          <w:sz w:val="24"/>
          <w:szCs w:val="24"/>
        </w:rPr>
        <w:footnoteRef/>
      </w:r>
      <w:r w:rsidRPr="00AA710A">
        <w:rPr>
          <w:rFonts w:ascii="Traditional Arabic" w:hAnsi="Traditional Arabic" w:cs="Traditional Arabic"/>
          <w:sz w:val="24"/>
          <w:szCs w:val="24"/>
        </w:rPr>
        <w:t xml:space="preserve"> </w:t>
      </w:r>
      <w:r w:rsidRPr="00AA710A">
        <w:rPr>
          <w:rFonts w:ascii="Traditional Arabic" w:hAnsi="Traditional Arabic" w:cs="Traditional Arabic"/>
          <w:sz w:val="24"/>
          <w:szCs w:val="24"/>
          <w:rtl/>
        </w:rPr>
        <w:t>ابن رشيق المسيلي، العمدة في محاسن الش</w:t>
      </w:r>
      <w:r w:rsidR="006A69B9">
        <w:rPr>
          <w:rFonts w:ascii="Traditional Arabic" w:hAnsi="Traditional Arabic" w:cs="Traditional Arabic" w:hint="cs"/>
          <w:sz w:val="24"/>
          <w:szCs w:val="24"/>
          <w:rtl/>
        </w:rPr>
        <w:t>ِّ</w:t>
      </w:r>
      <w:r w:rsidRPr="00AA710A">
        <w:rPr>
          <w:rFonts w:ascii="Traditional Arabic" w:hAnsi="Traditional Arabic" w:cs="Traditional Arabic"/>
          <w:sz w:val="24"/>
          <w:szCs w:val="24"/>
          <w:rtl/>
        </w:rPr>
        <w:t>عر، ج 2، تح: محيي الد</w:t>
      </w:r>
      <w:r w:rsidR="00F725D6">
        <w:rPr>
          <w:rFonts w:ascii="Traditional Arabic" w:hAnsi="Traditional Arabic" w:cs="Traditional Arabic" w:hint="cs"/>
          <w:sz w:val="24"/>
          <w:szCs w:val="24"/>
          <w:rtl/>
        </w:rPr>
        <w:t>ّ</w:t>
      </w:r>
      <w:r w:rsidRPr="00AA710A">
        <w:rPr>
          <w:rFonts w:ascii="Traditional Arabic" w:hAnsi="Traditional Arabic" w:cs="Traditional Arabic"/>
          <w:sz w:val="24"/>
          <w:szCs w:val="24"/>
          <w:rtl/>
        </w:rPr>
        <w:t xml:space="preserve">ين عبد الحميد، دار </w:t>
      </w:r>
      <w:r w:rsidRPr="00AA710A">
        <w:rPr>
          <w:rFonts w:ascii="Traditional Arabic" w:hAnsi="Traditional Arabic" w:cs="Traditional Arabic" w:hint="cs"/>
          <w:sz w:val="24"/>
          <w:szCs w:val="24"/>
          <w:rtl/>
        </w:rPr>
        <w:t>الجيل، ط</w:t>
      </w:r>
      <w:r w:rsidRPr="00AA710A">
        <w:rPr>
          <w:rFonts w:ascii="Traditional Arabic" w:hAnsi="Traditional Arabic" w:cs="Traditional Arabic"/>
          <w:sz w:val="24"/>
          <w:szCs w:val="24"/>
          <w:rtl/>
        </w:rPr>
        <w:t>5 ،1981، ص60</w:t>
      </w:r>
      <w:r>
        <w:rPr>
          <w:rFonts w:ascii="Traditional Arabic" w:hAnsi="Traditional Arabic" w:cs="Traditional Arabic" w:hint="cs"/>
          <w:sz w:val="24"/>
          <w:szCs w:val="24"/>
          <w:rtl/>
        </w:rPr>
        <w:t>.</w:t>
      </w:r>
      <w:r w:rsidRPr="00AA710A">
        <w:rPr>
          <w:rFonts w:ascii="Traditional Arabic" w:hAnsi="Traditional Arabic" w:cs="Traditional Arabic"/>
          <w:sz w:val="24"/>
          <w:szCs w:val="24"/>
          <w:rtl/>
        </w:rPr>
        <w:t xml:space="preserve">  </w:t>
      </w:r>
    </w:p>
  </w:footnote>
  <w:footnote w:id="6">
    <w:p w:rsidR="00AA710A" w:rsidRDefault="0076017E" w:rsidP="0076017E">
      <w:pPr>
        <w:pStyle w:val="Notedebasdepage"/>
        <w:jc w:val="right"/>
        <w:rPr>
          <w:rtl/>
        </w:rPr>
      </w:pPr>
      <w:r>
        <w:rPr>
          <w:rFonts w:hint="cs"/>
          <w:rtl/>
        </w:rPr>
        <w:t xml:space="preserve"> </w:t>
      </w:r>
      <w:r w:rsidR="00AA710A">
        <w:rPr>
          <w:rStyle w:val="Appelnotedebasdep"/>
        </w:rPr>
        <w:footnoteRef/>
      </w:r>
      <w:r w:rsidR="00AA710A" w:rsidRPr="0076017E">
        <w:rPr>
          <w:rFonts w:ascii="Traditional Arabic" w:hAnsi="Traditional Arabic" w:cs="Traditional Arabic"/>
          <w:sz w:val="24"/>
          <w:szCs w:val="24"/>
        </w:rPr>
        <w:t xml:space="preserve"> </w:t>
      </w:r>
      <w:r w:rsidRPr="0076017E">
        <w:rPr>
          <w:rFonts w:ascii="Traditional Arabic" w:hAnsi="Traditional Arabic" w:cs="Traditional Arabic"/>
          <w:sz w:val="24"/>
          <w:szCs w:val="24"/>
          <w:rtl/>
        </w:rPr>
        <w:t>المسعودي، مروج الذ</w:t>
      </w:r>
      <w:r w:rsidR="006A69B9">
        <w:rPr>
          <w:rFonts w:ascii="Traditional Arabic" w:hAnsi="Traditional Arabic" w:cs="Traditional Arabic" w:hint="cs"/>
          <w:sz w:val="24"/>
          <w:szCs w:val="24"/>
          <w:rtl/>
        </w:rPr>
        <w:t>ّ</w:t>
      </w:r>
      <w:r w:rsidRPr="0076017E">
        <w:rPr>
          <w:rFonts w:ascii="Traditional Arabic" w:hAnsi="Traditional Arabic" w:cs="Traditional Arabic"/>
          <w:sz w:val="24"/>
          <w:szCs w:val="24"/>
          <w:rtl/>
        </w:rPr>
        <w:t xml:space="preserve">هب، ج3، تح: كمال حسن مرعي، المكتبة العصرية، بيروت، ط1 ،2005، ص114. </w:t>
      </w:r>
    </w:p>
  </w:footnote>
  <w:footnote w:id="7">
    <w:p w:rsidR="0076017E" w:rsidRPr="00833318" w:rsidRDefault="00833318" w:rsidP="00833318">
      <w:pPr>
        <w:pStyle w:val="Notedebasdepage"/>
        <w:jc w:val="right"/>
        <w:rPr>
          <w:rFonts w:ascii="Traditional Arabic" w:hAnsi="Traditional Arabic" w:cs="Traditional Arabic"/>
          <w:sz w:val="24"/>
          <w:szCs w:val="24"/>
          <w:rtl/>
        </w:rPr>
      </w:pPr>
      <w:r>
        <w:rPr>
          <w:rFonts w:hint="cs"/>
          <w:rtl/>
        </w:rPr>
        <w:t xml:space="preserve"> </w:t>
      </w:r>
      <w:r w:rsidR="0076017E" w:rsidRPr="00833318">
        <w:rPr>
          <w:rStyle w:val="Appelnotedebasdep"/>
          <w:rFonts w:ascii="Traditional Arabic" w:hAnsi="Traditional Arabic" w:cs="Traditional Arabic"/>
          <w:sz w:val="24"/>
          <w:szCs w:val="24"/>
        </w:rPr>
        <w:footnoteRef/>
      </w:r>
      <w:r w:rsidR="0076017E" w:rsidRPr="00833318">
        <w:rPr>
          <w:rFonts w:ascii="Traditional Arabic" w:hAnsi="Traditional Arabic" w:cs="Traditional Arabic"/>
          <w:sz w:val="24"/>
          <w:szCs w:val="24"/>
        </w:rPr>
        <w:t xml:space="preserve"> </w:t>
      </w:r>
      <w:r w:rsidRPr="00833318">
        <w:rPr>
          <w:rFonts w:ascii="Traditional Arabic" w:hAnsi="Traditional Arabic" w:cs="Traditional Arabic"/>
          <w:sz w:val="24"/>
          <w:szCs w:val="24"/>
          <w:rtl/>
        </w:rPr>
        <w:t xml:space="preserve">ابن سلام الجمحي، طبقات فحول الشعراء، دار الكتب العلمية، بيروت، ط،1، 2001، ص17. </w:t>
      </w:r>
    </w:p>
  </w:footnote>
  <w:footnote w:id="8">
    <w:p w:rsidR="00A34BF3" w:rsidRPr="00A34BF3" w:rsidRDefault="00A34BF3" w:rsidP="00A34BF3">
      <w:pPr>
        <w:pStyle w:val="Notedebasdepage"/>
        <w:jc w:val="right"/>
        <w:rPr>
          <w:rFonts w:ascii="Traditional Arabic" w:hAnsi="Traditional Arabic" w:cs="Traditional Arabic"/>
          <w:sz w:val="24"/>
          <w:szCs w:val="24"/>
          <w:rtl/>
        </w:rPr>
      </w:pPr>
      <w:r>
        <w:rPr>
          <w:rFonts w:hint="cs"/>
          <w:rtl/>
        </w:rPr>
        <w:t xml:space="preserve"> </w:t>
      </w:r>
      <w:r w:rsidRPr="00A34BF3">
        <w:rPr>
          <w:rStyle w:val="Appelnotedebasdep"/>
          <w:rFonts w:ascii="Traditional Arabic" w:hAnsi="Traditional Arabic" w:cs="Traditional Arabic"/>
          <w:sz w:val="24"/>
          <w:szCs w:val="24"/>
        </w:rPr>
        <w:footnoteRef/>
      </w:r>
      <w:r w:rsidRPr="00A34BF3">
        <w:rPr>
          <w:rFonts w:ascii="Traditional Arabic" w:hAnsi="Traditional Arabic" w:cs="Traditional Arabic"/>
          <w:sz w:val="24"/>
          <w:szCs w:val="24"/>
        </w:rPr>
        <w:t xml:space="preserve"> </w:t>
      </w:r>
      <w:r w:rsidRPr="00A34BF3">
        <w:rPr>
          <w:rFonts w:ascii="Traditional Arabic" w:hAnsi="Traditional Arabic" w:cs="Traditional Arabic"/>
          <w:sz w:val="24"/>
          <w:szCs w:val="24"/>
          <w:rtl/>
        </w:rPr>
        <w:t xml:space="preserve">الفرزدق، الديوان، مؤسسة هنداوي للنشر، مصر، ط1، </w:t>
      </w:r>
      <w:r w:rsidRPr="00A34BF3">
        <w:rPr>
          <w:rFonts w:ascii="Traditional Arabic" w:hAnsi="Traditional Arabic" w:cs="Traditional Arabic" w:hint="cs"/>
          <w:sz w:val="24"/>
          <w:szCs w:val="24"/>
          <w:rtl/>
        </w:rPr>
        <w:t>2017،</w:t>
      </w:r>
      <w:r w:rsidRPr="00A34BF3">
        <w:rPr>
          <w:rFonts w:ascii="Traditional Arabic" w:hAnsi="Traditional Arabic" w:cs="Traditional Arabic"/>
          <w:sz w:val="24"/>
          <w:szCs w:val="24"/>
          <w:rtl/>
        </w:rPr>
        <w:t xml:space="preserve"> ص 43. </w:t>
      </w:r>
    </w:p>
  </w:footnote>
  <w:footnote w:id="9">
    <w:p w:rsidR="00F8134A" w:rsidRDefault="00F34E97" w:rsidP="00F34E97">
      <w:pPr>
        <w:pStyle w:val="Notedebasdepage"/>
        <w:jc w:val="right"/>
      </w:pPr>
      <w:r w:rsidRPr="00F34E97">
        <w:rPr>
          <w:rFonts w:ascii="Traditional Arabic" w:hAnsi="Traditional Arabic" w:cs="Traditional Arabic"/>
          <w:sz w:val="24"/>
          <w:szCs w:val="24"/>
          <w:rtl/>
        </w:rPr>
        <w:t xml:space="preserve">عبد الله الغذاميِّ، النقد الثقافيِّ، قراءة في الأنساق الثقافيَّة، المركز الثقافي العربيّ، </w:t>
      </w:r>
      <w:r w:rsidRPr="00F34E97">
        <w:rPr>
          <w:rFonts w:ascii="Traditional Arabic" w:hAnsi="Traditional Arabic" w:cs="Traditional Arabic" w:hint="cs"/>
          <w:sz w:val="24"/>
          <w:szCs w:val="24"/>
          <w:rtl/>
        </w:rPr>
        <w:t>المغرب، ط</w:t>
      </w:r>
      <w:r w:rsidRPr="00F34E97">
        <w:rPr>
          <w:rFonts w:ascii="Traditional Arabic" w:hAnsi="Traditional Arabic" w:cs="Traditional Arabic"/>
          <w:sz w:val="24"/>
          <w:szCs w:val="24"/>
          <w:rtl/>
        </w:rPr>
        <w:t>3، 2005، ص</w:t>
      </w:r>
      <w:r w:rsidRPr="00F34E97">
        <w:rPr>
          <w:rFonts w:ascii="Traditional Arabic" w:hAnsi="Traditional Arabic" w:cs="Traditional Arabic" w:hint="cs"/>
          <w:sz w:val="24"/>
          <w:szCs w:val="24"/>
          <w:rtl/>
        </w:rPr>
        <w:t>97.</w:t>
      </w:r>
      <w:r w:rsidR="001E6AD9">
        <w:rPr>
          <w:rFonts w:ascii="Traditional Arabic" w:hAnsi="Traditional Arabic" w:cs="Traditional Arabic"/>
          <w:sz w:val="24"/>
          <w:szCs w:val="24"/>
          <w:rtl/>
        </w:rPr>
        <w:t xml:space="preserve"> </w:t>
      </w:r>
      <w:r w:rsidR="00F8134A" w:rsidRPr="00F34E97">
        <w:rPr>
          <w:rFonts w:ascii="Traditional Arabic" w:hAnsi="Traditional Arabic" w:cs="Traditional Arabic"/>
          <w:sz w:val="24"/>
          <w:szCs w:val="24"/>
        </w:rPr>
        <w:t xml:space="preserve"> </w:t>
      </w:r>
      <w:r w:rsidR="00F8134A" w:rsidRPr="00F34E97">
        <w:rPr>
          <w:rFonts w:ascii="Traditional Arabic" w:hAnsi="Traditional Arabic" w:cs="Traditional Arabic"/>
          <w:sz w:val="24"/>
          <w:szCs w:val="24"/>
          <w:rtl/>
        </w:rPr>
        <w:t xml:space="preserve"> </w:t>
      </w:r>
      <w:r w:rsidR="00F8134A">
        <w:rPr>
          <w:rStyle w:val="Appelnotedebasdep"/>
        </w:rPr>
        <w:footnoteRef/>
      </w:r>
      <w:r w:rsidR="00F8134A">
        <w:t xml:space="preserve"> </w:t>
      </w:r>
    </w:p>
  </w:footnote>
  <w:footnote w:id="10">
    <w:p w:rsidR="00F34E97" w:rsidRPr="004C1D9F" w:rsidRDefault="00F34E97" w:rsidP="004C1D9F">
      <w:pPr>
        <w:pStyle w:val="Notedebasdepage"/>
        <w:jc w:val="right"/>
        <w:rPr>
          <w:rFonts w:ascii="Traditional Arabic" w:hAnsi="Traditional Arabic" w:cs="Traditional Arabic"/>
          <w:sz w:val="24"/>
          <w:szCs w:val="24"/>
          <w:rtl/>
        </w:rPr>
      </w:pPr>
      <w:r>
        <w:rPr>
          <w:rFonts w:hint="cs"/>
          <w:rtl/>
        </w:rPr>
        <w:t xml:space="preserve"> </w:t>
      </w:r>
      <w:r w:rsidRPr="004C1D9F">
        <w:rPr>
          <w:rStyle w:val="Appelnotedebasdep"/>
          <w:rFonts w:ascii="Traditional Arabic" w:hAnsi="Traditional Arabic" w:cs="Traditional Arabic"/>
          <w:sz w:val="24"/>
          <w:szCs w:val="24"/>
        </w:rPr>
        <w:footnoteRef/>
      </w:r>
      <w:r w:rsidRPr="004C1D9F">
        <w:rPr>
          <w:rFonts w:ascii="Traditional Arabic" w:hAnsi="Traditional Arabic" w:cs="Traditional Arabic"/>
          <w:sz w:val="24"/>
          <w:szCs w:val="24"/>
        </w:rPr>
        <w:t xml:space="preserve"> </w:t>
      </w:r>
      <w:r w:rsidR="004C1D9F" w:rsidRPr="004C1D9F">
        <w:rPr>
          <w:rFonts w:ascii="Traditional Arabic" w:hAnsi="Traditional Arabic" w:cs="Traditional Arabic" w:hint="cs"/>
          <w:sz w:val="24"/>
          <w:szCs w:val="24"/>
          <w:rtl/>
        </w:rPr>
        <w:t>المتنبي،</w:t>
      </w:r>
      <w:r w:rsidR="004C1D9F" w:rsidRPr="004C1D9F">
        <w:rPr>
          <w:rFonts w:ascii="Traditional Arabic" w:hAnsi="Traditional Arabic" w:cs="Traditional Arabic"/>
          <w:sz w:val="24"/>
          <w:szCs w:val="24"/>
          <w:rtl/>
        </w:rPr>
        <w:t xml:space="preserve"> </w:t>
      </w:r>
      <w:r w:rsidR="004C1D9F" w:rsidRPr="004C1D9F">
        <w:rPr>
          <w:rFonts w:ascii="Traditional Arabic" w:hAnsi="Traditional Arabic" w:cs="Traditional Arabic" w:hint="cs"/>
          <w:sz w:val="24"/>
          <w:szCs w:val="24"/>
          <w:rtl/>
        </w:rPr>
        <w:t>الديوان،</w:t>
      </w:r>
      <w:r w:rsidR="004C1D9F" w:rsidRPr="004C1D9F">
        <w:rPr>
          <w:rFonts w:ascii="Traditional Arabic" w:hAnsi="Traditional Arabic" w:cs="Traditional Arabic"/>
          <w:sz w:val="24"/>
          <w:szCs w:val="24"/>
          <w:rtl/>
        </w:rPr>
        <w:t xml:space="preserve"> مطبعة أمين أفندي </w:t>
      </w:r>
      <w:r w:rsidR="004C1D9F" w:rsidRPr="004C1D9F">
        <w:rPr>
          <w:rFonts w:ascii="Traditional Arabic" w:hAnsi="Traditional Arabic" w:cs="Traditional Arabic" w:hint="cs"/>
          <w:sz w:val="24"/>
          <w:szCs w:val="24"/>
          <w:rtl/>
        </w:rPr>
        <w:t>هندي</w:t>
      </w:r>
      <w:r w:rsidR="004C1D9F">
        <w:rPr>
          <w:rFonts w:ascii="Traditional Arabic" w:hAnsi="Traditional Arabic" w:cs="Traditional Arabic" w:hint="cs"/>
          <w:sz w:val="24"/>
          <w:szCs w:val="24"/>
          <w:rtl/>
        </w:rPr>
        <w:t>ه،</w:t>
      </w:r>
      <w:r w:rsidR="004C1D9F" w:rsidRPr="004C1D9F">
        <w:rPr>
          <w:rFonts w:ascii="Traditional Arabic" w:hAnsi="Traditional Arabic" w:cs="Traditional Arabic"/>
          <w:sz w:val="24"/>
          <w:szCs w:val="24"/>
          <w:rtl/>
        </w:rPr>
        <w:t xml:space="preserve"> مصر، ط1، 1898، ص</w:t>
      </w:r>
      <w:r w:rsidR="004C1D9F" w:rsidRPr="004C1D9F">
        <w:rPr>
          <w:rFonts w:ascii="Traditional Arabic" w:hAnsi="Traditional Arabic" w:cs="Traditional Arabic" w:hint="cs"/>
          <w:sz w:val="24"/>
          <w:szCs w:val="24"/>
          <w:rtl/>
        </w:rPr>
        <w:t>319.</w:t>
      </w:r>
      <w:r w:rsidR="004C1D9F" w:rsidRPr="004C1D9F">
        <w:rPr>
          <w:rFonts w:ascii="Traditional Arabic" w:hAnsi="Traditional Arabic" w:cs="Traditional Arabic"/>
          <w:sz w:val="24"/>
          <w:szCs w:val="24"/>
          <w:rtl/>
        </w:rPr>
        <w:t xml:space="preserve">  </w:t>
      </w:r>
    </w:p>
  </w:footnote>
  <w:footnote w:id="11">
    <w:p w:rsidR="004C1D9F" w:rsidRPr="00E2225E" w:rsidRDefault="004C1D9F" w:rsidP="00E2225E">
      <w:pPr>
        <w:pStyle w:val="Notedebasdepage"/>
        <w:jc w:val="right"/>
        <w:rPr>
          <w:rFonts w:ascii="Traditional Arabic" w:hAnsi="Traditional Arabic" w:cs="Traditional Arabic"/>
          <w:sz w:val="24"/>
          <w:szCs w:val="24"/>
          <w:rtl/>
        </w:rPr>
      </w:pPr>
      <w:r>
        <w:rPr>
          <w:rFonts w:hint="cs"/>
          <w:rtl/>
        </w:rPr>
        <w:t xml:space="preserve"> </w:t>
      </w:r>
      <w:r w:rsidRPr="00E2225E">
        <w:rPr>
          <w:rStyle w:val="Appelnotedebasdep"/>
          <w:rFonts w:ascii="Traditional Arabic" w:hAnsi="Traditional Arabic" w:cs="Traditional Arabic"/>
          <w:sz w:val="24"/>
          <w:szCs w:val="24"/>
        </w:rPr>
        <w:footnoteRef/>
      </w:r>
      <w:r w:rsidRPr="00E2225E">
        <w:rPr>
          <w:rFonts w:ascii="Traditional Arabic" w:hAnsi="Traditional Arabic" w:cs="Traditional Arabic"/>
          <w:sz w:val="24"/>
          <w:szCs w:val="24"/>
        </w:rPr>
        <w:t xml:space="preserve"> </w:t>
      </w:r>
      <w:r w:rsidRPr="00E2225E">
        <w:rPr>
          <w:rFonts w:ascii="Traditional Arabic" w:hAnsi="Traditional Arabic" w:cs="Traditional Arabic"/>
          <w:sz w:val="24"/>
          <w:szCs w:val="24"/>
          <w:rtl/>
        </w:rPr>
        <w:t>عبد الله الغذامي، المرجع السابق،</w:t>
      </w:r>
      <w:r w:rsidR="00E2225E">
        <w:rPr>
          <w:rFonts w:ascii="Traditional Arabic" w:hAnsi="Traditional Arabic" w:cs="Traditional Arabic" w:hint="cs"/>
          <w:sz w:val="24"/>
          <w:szCs w:val="24"/>
          <w:rtl/>
        </w:rPr>
        <w:t xml:space="preserve"> </w:t>
      </w:r>
      <w:r w:rsidR="00E2225E" w:rsidRPr="00E2225E">
        <w:rPr>
          <w:rFonts w:ascii="Traditional Arabic" w:hAnsi="Traditional Arabic" w:cs="Traditional Arabic"/>
          <w:sz w:val="24"/>
          <w:szCs w:val="24"/>
          <w:rtl/>
        </w:rPr>
        <w:t>ص</w:t>
      </w:r>
      <w:r w:rsidR="00400745" w:rsidRPr="00E2225E">
        <w:rPr>
          <w:rFonts w:ascii="Traditional Arabic" w:hAnsi="Traditional Arabic" w:cs="Traditional Arabic" w:hint="cs"/>
          <w:sz w:val="24"/>
          <w:szCs w:val="24"/>
          <w:rtl/>
        </w:rPr>
        <w:t>162.</w:t>
      </w:r>
      <w:r w:rsidR="00E2225E" w:rsidRPr="00E2225E">
        <w:rPr>
          <w:rFonts w:ascii="Traditional Arabic" w:hAnsi="Traditional Arabic" w:cs="Traditional Arabic"/>
          <w:sz w:val="24"/>
          <w:szCs w:val="24"/>
          <w:rtl/>
        </w:rPr>
        <w:t xml:space="preserve">  </w:t>
      </w:r>
    </w:p>
  </w:footnote>
  <w:footnote w:id="12">
    <w:p w:rsidR="006C5E20" w:rsidRDefault="00400745" w:rsidP="00400745">
      <w:pPr>
        <w:pStyle w:val="Notedebasdepage"/>
        <w:jc w:val="right"/>
        <w:rPr>
          <w:rtl/>
        </w:rPr>
      </w:pPr>
      <w:r>
        <w:rPr>
          <w:rFonts w:hint="cs"/>
          <w:rtl/>
        </w:rPr>
        <w:t xml:space="preserve"> </w:t>
      </w:r>
      <w:r w:rsidR="006C5E20">
        <w:rPr>
          <w:rStyle w:val="Appelnotedebasdep"/>
        </w:rPr>
        <w:footnoteRef/>
      </w:r>
      <w:r w:rsidR="006C5E20" w:rsidRPr="00400745">
        <w:rPr>
          <w:rFonts w:ascii="Traditional Arabic" w:hAnsi="Traditional Arabic" w:cs="Traditional Arabic"/>
          <w:sz w:val="24"/>
          <w:szCs w:val="24"/>
        </w:rPr>
        <w:t xml:space="preserve"> </w:t>
      </w:r>
      <w:r w:rsidRPr="00400745">
        <w:rPr>
          <w:rFonts w:ascii="Traditional Arabic" w:hAnsi="Traditional Arabic" w:cs="Traditional Arabic"/>
          <w:sz w:val="24"/>
          <w:szCs w:val="24"/>
          <w:rtl/>
        </w:rPr>
        <w:t xml:space="preserve">نزار قباني، طفولة نهد، </w:t>
      </w:r>
      <w:r w:rsidRPr="00400745">
        <w:rPr>
          <w:rFonts w:ascii="Traditional Arabic" w:hAnsi="Traditional Arabic" w:cs="Traditional Arabic"/>
          <w:sz w:val="24"/>
          <w:szCs w:val="24"/>
          <w:rtl/>
        </w:rPr>
        <w:t>مؤس</w:t>
      </w:r>
      <w:r w:rsidR="00764DC6">
        <w:rPr>
          <w:rFonts w:ascii="Traditional Arabic" w:hAnsi="Traditional Arabic" w:cs="Traditional Arabic" w:hint="cs"/>
          <w:sz w:val="24"/>
          <w:szCs w:val="24"/>
          <w:rtl/>
        </w:rPr>
        <w:t>َّ</w:t>
      </w:r>
      <w:bookmarkStart w:id="0" w:name="_GoBack"/>
      <w:bookmarkEnd w:id="0"/>
      <w:r w:rsidRPr="00400745">
        <w:rPr>
          <w:rFonts w:ascii="Traditional Arabic" w:hAnsi="Traditional Arabic" w:cs="Traditional Arabic"/>
          <w:sz w:val="24"/>
          <w:szCs w:val="24"/>
          <w:rtl/>
        </w:rPr>
        <w:t xml:space="preserve">سة نوفل </w:t>
      </w:r>
      <w:r w:rsidRPr="00400745">
        <w:rPr>
          <w:rFonts w:ascii="Traditional Arabic" w:hAnsi="Traditional Arabic" w:cs="Traditional Arabic" w:hint="cs"/>
          <w:sz w:val="24"/>
          <w:szCs w:val="24"/>
          <w:rtl/>
        </w:rPr>
        <w:t>للطبع،</w:t>
      </w:r>
      <w:r>
        <w:rPr>
          <w:rFonts w:ascii="Traditional Arabic" w:hAnsi="Traditional Arabic" w:cs="Traditional Arabic" w:hint="cs"/>
          <w:sz w:val="24"/>
          <w:szCs w:val="24"/>
          <w:rtl/>
        </w:rPr>
        <w:t xml:space="preserve"> ط3،</w:t>
      </w:r>
      <w:r w:rsidRPr="00400745">
        <w:rPr>
          <w:rFonts w:ascii="Traditional Arabic" w:hAnsi="Traditional Arabic" w:cs="Traditional Arabic"/>
          <w:sz w:val="24"/>
          <w:szCs w:val="24"/>
          <w:rtl/>
        </w:rPr>
        <w:t xml:space="preserve"> 2017، ص</w:t>
      </w:r>
      <w:r w:rsidRPr="00400745">
        <w:rPr>
          <w:rFonts w:ascii="Traditional Arabic" w:hAnsi="Traditional Arabic" w:cs="Traditional Arabic" w:hint="cs"/>
          <w:sz w:val="24"/>
          <w:szCs w:val="24"/>
          <w:rtl/>
        </w:rPr>
        <w:t>4.</w:t>
      </w:r>
      <w:r>
        <w:rPr>
          <w:rFonts w:hint="cs"/>
          <w:rtl/>
        </w:rPr>
        <w:t xml:space="preserve"> </w:t>
      </w:r>
    </w:p>
  </w:footnote>
  <w:footnote w:id="13">
    <w:p w:rsidR="00400745" w:rsidRPr="002E08D0" w:rsidRDefault="00400745" w:rsidP="002E08D0">
      <w:pPr>
        <w:pStyle w:val="Notedebasdepage"/>
        <w:jc w:val="right"/>
        <w:rPr>
          <w:rFonts w:ascii="Traditional Arabic" w:hAnsi="Traditional Arabic" w:cs="Traditional Arabic"/>
          <w:sz w:val="24"/>
          <w:szCs w:val="24"/>
          <w:rtl/>
        </w:rPr>
      </w:pPr>
      <w:r>
        <w:rPr>
          <w:rFonts w:hint="cs"/>
          <w:rtl/>
        </w:rPr>
        <w:t xml:space="preserve"> </w:t>
      </w:r>
      <w:r w:rsidRPr="002E08D0">
        <w:rPr>
          <w:rStyle w:val="Appelnotedebasdep"/>
          <w:rFonts w:ascii="Traditional Arabic" w:hAnsi="Traditional Arabic" w:cs="Traditional Arabic"/>
          <w:sz w:val="24"/>
          <w:szCs w:val="24"/>
        </w:rPr>
        <w:footnoteRef/>
      </w:r>
      <w:r w:rsidRPr="002E08D0">
        <w:rPr>
          <w:rFonts w:ascii="Traditional Arabic" w:hAnsi="Traditional Arabic" w:cs="Traditional Arabic"/>
          <w:sz w:val="24"/>
          <w:szCs w:val="24"/>
        </w:rPr>
        <w:t xml:space="preserve"> </w:t>
      </w:r>
      <w:r w:rsidRPr="002E08D0">
        <w:rPr>
          <w:rFonts w:ascii="Traditional Arabic" w:hAnsi="Traditional Arabic" w:cs="Traditional Arabic"/>
          <w:sz w:val="24"/>
          <w:szCs w:val="24"/>
          <w:rtl/>
        </w:rPr>
        <w:t>نزار قباني</w:t>
      </w:r>
      <w:r w:rsidR="002E08D0" w:rsidRPr="002E08D0">
        <w:rPr>
          <w:rFonts w:ascii="Traditional Arabic" w:hAnsi="Traditional Arabic" w:cs="Traditional Arabic"/>
          <w:sz w:val="24"/>
          <w:szCs w:val="24"/>
          <w:rtl/>
        </w:rPr>
        <w:t>، أحلى قصائدي، منشورات نزار قباني، ط</w:t>
      </w:r>
      <w:r w:rsidR="002E08D0" w:rsidRPr="002E08D0">
        <w:rPr>
          <w:rFonts w:ascii="Traditional Arabic" w:hAnsi="Traditional Arabic" w:cs="Traditional Arabic" w:hint="cs"/>
          <w:sz w:val="24"/>
          <w:szCs w:val="24"/>
          <w:rtl/>
        </w:rPr>
        <w:t>18،</w:t>
      </w:r>
      <w:r w:rsidR="002E08D0" w:rsidRPr="002E08D0">
        <w:rPr>
          <w:rFonts w:ascii="Traditional Arabic" w:hAnsi="Traditional Arabic" w:cs="Traditional Arabic"/>
          <w:sz w:val="24"/>
          <w:szCs w:val="24"/>
          <w:rtl/>
        </w:rPr>
        <w:t xml:space="preserve"> </w:t>
      </w:r>
      <w:r w:rsidR="002E08D0" w:rsidRPr="002E08D0">
        <w:rPr>
          <w:rFonts w:ascii="Traditional Arabic" w:hAnsi="Traditional Arabic" w:cs="Traditional Arabic" w:hint="cs"/>
          <w:sz w:val="24"/>
          <w:szCs w:val="24"/>
          <w:rtl/>
        </w:rPr>
        <w:t>1999،</w:t>
      </w:r>
      <w:r w:rsidR="002E08D0" w:rsidRPr="002E08D0">
        <w:rPr>
          <w:rFonts w:ascii="Traditional Arabic" w:hAnsi="Traditional Arabic" w:cs="Traditional Arabic"/>
          <w:sz w:val="24"/>
          <w:szCs w:val="24"/>
          <w:rtl/>
        </w:rPr>
        <w:t xml:space="preserve"> ص13  </w:t>
      </w:r>
    </w:p>
  </w:footnote>
  <w:footnote w:id="14">
    <w:p w:rsidR="00B246B9" w:rsidRPr="00D57A26" w:rsidRDefault="00B246B9" w:rsidP="00D57A26">
      <w:pPr>
        <w:pStyle w:val="Notedebasdepage"/>
        <w:jc w:val="right"/>
        <w:rPr>
          <w:rFonts w:ascii="Traditional Arabic" w:hAnsi="Traditional Arabic" w:cs="Traditional Arabic"/>
          <w:sz w:val="24"/>
          <w:szCs w:val="24"/>
          <w:rtl/>
        </w:rPr>
      </w:pPr>
      <w:r>
        <w:rPr>
          <w:rFonts w:hint="cs"/>
          <w:rtl/>
        </w:rPr>
        <w:t xml:space="preserve"> </w:t>
      </w:r>
      <w:r w:rsidRPr="00D57A26">
        <w:rPr>
          <w:rStyle w:val="Appelnotedebasdep"/>
          <w:rFonts w:ascii="Traditional Arabic" w:hAnsi="Traditional Arabic" w:cs="Traditional Arabic"/>
          <w:sz w:val="24"/>
          <w:szCs w:val="24"/>
        </w:rPr>
        <w:footnoteRef/>
      </w:r>
      <w:r w:rsidRPr="00D57A26">
        <w:rPr>
          <w:rFonts w:ascii="Traditional Arabic" w:hAnsi="Traditional Arabic" w:cs="Traditional Arabic"/>
          <w:sz w:val="24"/>
          <w:szCs w:val="24"/>
        </w:rPr>
        <w:t xml:space="preserve"> </w:t>
      </w:r>
      <w:r w:rsidRPr="00D57A26">
        <w:rPr>
          <w:rFonts w:ascii="Traditional Arabic" w:hAnsi="Traditional Arabic" w:cs="Traditional Arabic"/>
          <w:sz w:val="24"/>
          <w:szCs w:val="24"/>
          <w:rtl/>
        </w:rPr>
        <w:t>عبد الله الغذامي، المرجع الس</w:t>
      </w:r>
      <w:r w:rsidR="00764DC6">
        <w:rPr>
          <w:rFonts w:ascii="Traditional Arabic" w:hAnsi="Traditional Arabic" w:cs="Traditional Arabic" w:hint="cs"/>
          <w:sz w:val="24"/>
          <w:szCs w:val="24"/>
          <w:rtl/>
        </w:rPr>
        <w:t>ّ</w:t>
      </w:r>
      <w:r w:rsidRPr="00D57A26">
        <w:rPr>
          <w:rFonts w:ascii="Traditional Arabic" w:hAnsi="Traditional Arabic" w:cs="Traditional Arabic"/>
          <w:sz w:val="24"/>
          <w:szCs w:val="24"/>
          <w:rtl/>
        </w:rPr>
        <w:t>ابق، ص</w:t>
      </w:r>
      <w:r w:rsidR="00D57A26" w:rsidRPr="00D57A26">
        <w:rPr>
          <w:rFonts w:ascii="Traditional Arabic" w:hAnsi="Traditional Arabic" w:cs="Traditional Arabic"/>
          <w:sz w:val="24"/>
          <w:szCs w:val="24"/>
          <w:rtl/>
        </w:rPr>
        <w:t xml:space="preserve"> </w:t>
      </w:r>
      <w:r w:rsidR="00D57A26" w:rsidRPr="00D57A26">
        <w:rPr>
          <w:rFonts w:ascii="Traditional Arabic" w:hAnsi="Traditional Arabic" w:cs="Traditional Arabic" w:hint="cs"/>
          <w:sz w:val="24"/>
          <w:szCs w:val="24"/>
          <w:rtl/>
        </w:rPr>
        <w:t>254.</w:t>
      </w:r>
      <w:r w:rsidR="00D57A26" w:rsidRPr="00D57A26">
        <w:rPr>
          <w:rFonts w:ascii="Traditional Arabic" w:hAnsi="Traditional Arabic" w:cs="Traditional Arabic"/>
          <w:sz w:val="24"/>
          <w:szCs w:val="24"/>
          <w:rtl/>
        </w:rPr>
        <w:t xml:space="preserve"> </w:t>
      </w:r>
    </w:p>
  </w:footnote>
  <w:footnote w:id="15">
    <w:p w:rsidR="00AE543F" w:rsidRPr="00BF6278" w:rsidRDefault="00E22502" w:rsidP="00BF6278">
      <w:pPr>
        <w:pStyle w:val="Notedebasdepage"/>
        <w:jc w:val="right"/>
        <w:rPr>
          <w:rtl/>
        </w:rPr>
      </w:pPr>
      <w:r>
        <w:rPr>
          <w:rFonts w:hint="cs"/>
          <w:rtl/>
        </w:rPr>
        <w:t xml:space="preserve"> </w:t>
      </w:r>
      <w:r w:rsidRPr="00AE543F">
        <w:rPr>
          <w:rStyle w:val="Appelnotedebasdep"/>
          <w:rFonts w:ascii="Traditional Arabic" w:hAnsi="Traditional Arabic" w:cs="Traditional Arabic"/>
          <w:sz w:val="24"/>
          <w:szCs w:val="24"/>
        </w:rPr>
        <w:footnoteRef/>
      </w:r>
      <w:r w:rsidRPr="00AE543F">
        <w:rPr>
          <w:rFonts w:ascii="Traditional Arabic" w:hAnsi="Traditional Arabic" w:cs="Traditional Arabic"/>
          <w:sz w:val="24"/>
          <w:szCs w:val="24"/>
        </w:rPr>
        <w:t xml:space="preserve"> </w:t>
      </w:r>
      <w:r w:rsidR="00AE543F" w:rsidRPr="00AE543F">
        <w:rPr>
          <w:rFonts w:ascii="Traditional Arabic" w:hAnsi="Traditional Arabic" w:cs="Traditional Arabic"/>
          <w:sz w:val="24"/>
          <w:szCs w:val="24"/>
          <w:rtl/>
        </w:rPr>
        <w:t xml:space="preserve">عبد العزيز الجرجانيِّ، الوساطة بين المتنبي وخصومهِ، تح: محمد أبو الفضل، مطبعة عيسى البابي الحلبيِّ، القاهرة، </w:t>
      </w:r>
      <w:proofErr w:type="gramStart"/>
      <w:r w:rsidR="00AE543F" w:rsidRPr="00AE543F">
        <w:rPr>
          <w:rFonts w:ascii="Traditional Arabic" w:hAnsi="Traditional Arabic" w:cs="Traditional Arabic"/>
          <w:sz w:val="24"/>
          <w:szCs w:val="24"/>
          <w:rtl/>
        </w:rPr>
        <w:t>1966،ص</w:t>
      </w:r>
      <w:proofErr w:type="gramEnd"/>
      <w:r w:rsidR="00AE543F" w:rsidRPr="00AE543F">
        <w:rPr>
          <w:rFonts w:ascii="Traditional Arabic" w:hAnsi="Traditional Arabic" w:cs="Traditional Arabic"/>
          <w:sz w:val="24"/>
          <w:szCs w:val="24"/>
          <w:rtl/>
        </w:rPr>
        <w:t>53</w:t>
      </w:r>
      <w:r w:rsidR="00AE543F">
        <w:rPr>
          <w:rFonts w:hint="cs"/>
          <w:rtl/>
        </w:rPr>
        <w:t xml:space="preserve"> .</w:t>
      </w:r>
    </w:p>
  </w:footnote>
  <w:footnote w:id="16">
    <w:p w:rsidR="00AE543F" w:rsidRPr="00AE543F" w:rsidRDefault="00C30F36" w:rsidP="004241F1">
      <w:pPr>
        <w:pStyle w:val="Notedebasdepage"/>
        <w:jc w:val="right"/>
        <w:rPr>
          <w:rFonts w:ascii="Traditional Arabic" w:hAnsi="Traditional Arabic" w:cs="Traditional Arabic"/>
          <w:sz w:val="24"/>
          <w:szCs w:val="24"/>
          <w:rtl/>
        </w:rPr>
      </w:pPr>
      <w:r>
        <w:rPr>
          <w:rFonts w:hint="cs"/>
          <w:rtl/>
        </w:rPr>
        <w:t xml:space="preserve"> </w:t>
      </w:r>
      <w:r w:rsidR="00AE543F" w:rsidRPr="008C2161">
        <w:rPr>
          <w:rStyle w:val="Appelnotedebasdep"/>
          <w:rFonts w:ascii="Traditional Arabic" w:hAnsi="Traditional Arabic" w:cs="Traditional Arabic"/>
          <w:sz w:val="24"/>
          <w:szCs w:val="24"/>
        </w:rPr>
        <w:footnoteRef/>
      </w:r>
      <w:r w:rsidR="00AE543F" w:rsidRPr="008C2161">
        <w:rPr>
          <w:rFonts w:ascii="Traditional Arabic" w:hAnsi="Traditional Arabic" w:cs="Traditional Arabic"/>
          <w:sz w:val="24"/>
          <w:szCs w:val="24"/>
        </w:rPr>
        <w:t xml:space="preserve"> </w:t>
      </w:r>
      <w:r w:rsidRPr="008C2161">
        <w:rPr>
          <w:rFonts w:ascii="Traditional Arabic" w:hAnsi="Traditional Arabic" w:cs="Traditional Arabic"/>
          <w:sz w:val="24"/>
          <w:szCs w:val="24"/>
          <w:rtl/>
        </w:rPr>
        <w:t>كارل بروكلمان، تاريخ الأدب العربيِّ</w:t>
      </w:r>
      <w:r w:rsidR="008C2161" w:rsidRPr="008C2161">
        <w:rPr>
          <w:rFonts w:ascii="Traditional Arabic" w:hAnsi="Traditional Arabic" w:cs="Traditional Arabic"/>
          <w:sz w:val="24"/>
          <w:szCs w:val="24"/>
          <w:rtl/>
        </w:rPr>
        <w:t>، ج</w:t>
      </w:r>
      <w:r w:rsidR="004241F1" w:rsidRPr="008C2161">
        <w:rPr>
          <w:rFonts w:ascii="Traditional Arabic" w:hAnsi="Traditional Arabic" w:cs="Traditional Arabic" w:hint="cs"/>
          <w:sz w:val="24"/>
          <w:szCs w:val="24"/>
          <w:rtl/>
        </w:rPr>
        <w:t>2، تر</w:t>
      </w:r>
      <w:r w:rsidR="008C2161" w:rsidRPr="008C2161">
        <w:rPr>
          <w:rFonts w:ascii="Traditional Arabic" w:hAnsi="Traditional Arabic" w:cs="Traditional Arabic"/>
          <w:sz w:val="24"/>
          <w:szCs w:val="24"/>
          <w:rtl/>
        </w:rPr>
        <w:t xml:space="preserve">: عبد الحليم النَّجار، دار </w:t>
      </w:r>
      <w:r w:rsidR="008C2161" w:rsidRPr="008C2161">
        <w:rPr>
          <w:rFonts w:ascii="Traditional Arabic" w:hAnsi="Traditional Arabic" w:cs="Traditional Arabic" w:hint="cs"/>
          <w:sz w:val="24"/>
          <w:szCs w:val="24"/>
          <w:rtl/>
        </w:rPr>
        <w:t>المعارف، مصر، ط</w:t>
      </w:r>
      <w:r w:rsidR="008C2161" w:rsidRPr="008C2161">
        <w:rPr>
          <w:rFonts w:ascii="Traditional Arabic" w:hAnsi="Traditional Arabic" w:cs="Traditional Arabic"/>
          <w:sz w:val="24"/>
          <w:szCs w:val="24"/>
          <w:rtl/>
        </w:rPr>
        <w:t>1، 1968، ص</w:t>
      </w:r>
      <w:r w:rsidR="008C2161" w:rsidRPr="008C2161">
        <w:rPr>
          <w:rFonts w:ascii="Traditional Arabic" w:hAnsi="Traditional Arabic" w:cs="Traditional Arabic" w:hint="cs"/>
          <w:sz w:val="24"/>
          <w:szCs w:val="24"/>
          <w:rtl/>
        </w:rPr>
        <w:t>113</w:t>
      </w:r>
      <w:r w:rsidR="008C2161">
        <w:rPr>
          <w:rFonts w:hint="cs"/>
          <w:rtl/>
        </w:rPr>
        <w:t xml:space="preserve">.   </w:t>
      </w:r>
    </w:p>
  </w:footnote>
  <w:footnote w:id="17">
    <w:p w:rsidR="008C2161" w:rsidRPr="00707A0F" w:rsidRDefault="008C2161" w:rsidP="00707A0F">
      <w:pPr>
        <w:pStyle w:val="Notedebasdepage"/>
        <w:jc w:val="right"/>
        <w:rPr>
          <w:rFonts w:ascii="Traditional Arabic" w:hAnsi="Traditional Arabic" w:cs="Traditional Arabic"/>
          <w:sz w:val="24"/>
          <w:szCs w:val="24"/>
          <w:rtl/>
        </w:rPr>
      </w:pPr>
      <w:r>
        <w:rPr>
          <w:rFonts w:hint="cs"/>
          <w:rtl/>
        </w:rPr>
        <w:t xml:space="preserve"> </w:t>
      </w:r>
      <w:r w:rsidRPr="00707A0F">
        <w:rPr>
          <w:rStyle w:val="Appelnotedebasdep"/>
          <w:rFonts w:ascii="Traditional Arabic" w:hAnsi="Traditional Arabic" w:cs="Traditional Arabic"/>
          <w:sz w:val="24"/>
          <w:szCs w:val="24"/>
        </w:rPr>
        <w:footnoteRef/>
      </w:r>
      <w:r w:rsidR="00707A0F" w:rsidRPr="00707A0F">
        <w:rPr>
          <w:rFonts w:ascii="Traditional Arabic" w:hAnsi="Traditional Arabic" w:cs="Traditional Arabic"/>
          <w:sz w:val="24"/>
          <w:szCs w:val="24"/>
          <w:rtl/>
        </w:rPr>
        <w:t xml:space="preserve"> ابن رشيق المسيلي، المرجع السابق، ص</w:t>
      </w:r>
      <w:r w:rsidR="00707A0F" w:rsidRPr="00707A0F">
        <w:rPr>
          <w:rFonts w:ascii="Traditional Arabic" w:hAnsi="Traditional Arabic" w:cs="Traditional Arabic" w:hint="cs"/>
          <w:sz w:val="24"/>
          <w:szCs w:val="24"/>
          <w:rtl/>
        </w:rPr>
        <w:t>291.</w:t>
      </w:r>
      <w:r w:rsidR="00E22DD7" w:rsidRPr="00707A0F">
        <w:rPr>
          <w:rFonts w:ascii="Traditional Arabic" w:hAnsi="Traditional Arabic" w:cs="Traditional Arabic"/>
          <w:sz w:val="24"/>
          <w:szCs w:val="24"/>
          <w:rtl/>
        </w:rPr>
        <w:t xml:space="preserve"> </w:t>
      </w:r>
    </w:p>
  </w:footnote>
  <w:footnote w:id="18">
    <w:p w:rsidR="00725FB1" w:rsidRPr="00D772D3" w:rsidRDefault="00725FB1" w:rsidP="00D772D3">
      <w:pPr>
        <w:pStyle w:val="Notedebasdepage"/>
        <w:jc w:val="right"/>
        <w:rPr>
          <w:rFonts w:ascii="Traditional Arabic" w:hAnsi="Traditional Arabic" w:cs="Traditional Arabic"/>
          <w:sz w:val="24"/>
          <w:szCs w:val="24"/>
          <w:rtl/>
        </w:rPr>
      </w:pPr>
      <w:r>
        <w:rPr>
          <w:rFonts w:hint="cs"/>
          <w:rtl/>
        </w:rPr>
        <w:t xml:space="preserve"> </w:t>
      </w:r>
      <w:r w:rsidRPr="00D772D3">
        <w:rPr>
          <w:rStyle w:val="Appelnotedebasdep"/>
          <w:rFonts w:ascii="Traditional Arabic" w:hAnsi="Traditional Arabic" w:cs="Traditional Arabic"/>
          <w:sz w:val="24"/>
          <w:szCs w:val="24"/>
        </w:rPr>
        <w:footnoteRef/>
      </w:r>
      <w:r w:rsidRPr="00D772D3">
        <w:rPr>
          <w:rFonts w:ascii="Traditional Arabic" w:hAnsi="Traditional Arabic" w:cs="Traditional Arabic"/>
          <w:sz w:val="24"/>
          <w:szCs w:val="24"/>
        </w:rPr>
        <w:t xml:space="preserve"> </w:t>
      </w:r>
      <w:r w:rsidRPr="00D772D3">
        <w:rPr>
          <w:rFonts w:ascii="Traditional Arabic" w:hAnsi="Traditional Arabic" w:cs="Traditional Arabic"/>
          <w:sz w:val="24"/>
          <w:szCs w:val="24"/>
          <w:rtl/>
        </w:rPr>
        <w:t>عبد الله الغذامي المرجع الس</w:t>
      </w:r>
      <w:r w:rsidR="00365B71">
        <w:rPr>
          <w:rFonts w:ascii="Traditional Arabic" w:hAnsi="Traditional Arabic" w:cs="Traditional Arabic" w:hint="cs"/>
          <w:sz w:val="24"/>
          <w:szCs w:val="24"/>
          <w:rtl/>
        </w:rPr>
        <w:t>َّ</w:t>
      </w:r>
      <w:r w:rsidRPr="00D772D3">
        <w:rPr>
          <w:rFonts w:ascii="Traditional Arabic" w:hAnsi="Traditional Arabic" w:cs="Traditional Arabic"/>
          <w:sz w:val="24"/>
          <w:szCs w:val="24"/>
          <w:rtl/>
        </w:rPr>
        <w:t xml:space="preserve">ابق، ص </w:t>
      </w:r>
      <w:r w:rsidR="00D772D3" w:rsidRPr="00D772D3">
        <w:rPr>
          <w:rFonts w:ascii="Traditional Arabic" w:hAnsi="Traditional Arabic" w:cs="Traditional Arabic" w:hint="cs"/>
          <w:sz w:val="24"/>
          <w:szCs w:val="24"/>
          <w:rtl/>
        </w:rPr>
        <w:t>226.</w:t>
      </w:r>
      <w:r w:rsidR="00D772D3" w:rsidRPr="00D772D3">
        <w:rPr>
          <w:rFonts w:ascii="Traditional Arabic" w:hAnsi="Traditional Arabic" w:cs="Traditional Arabic"/>
          <w:sz w:val="24"/>
          <w:szCs w:val="24"/>
          <w:rtl/>
        </w:rPr>
        <w:t xml:space="preserve"> </w:t>
      </w:r>
    </w:p>
  </w:footnote>
  <w:footnote w:id="19">
    <w:p w:rsidR="005D4C04" w:rsidRPr="005D4C04" w:rsidRDefault="005D4C04" w:rsidP="00764DC6">
      <w:pPr>
        <w:pStyle w:val="Notedebasdepage"/>
        <w:jc w:val="right"/>
        <w:rPr>
          <w:rFonts w:ascii="Traditional Arabic" w:hAnsi="Traditional Arabic" w:cs="Traditional Arabic"/>
          <w:sz w:val="24"/>
          <w:szCs w:val="24"/>
          <w:rtl/>
        </w:rPr>
      </w:pPr>
      <w:r>
        <w:rPr>
          <w:rFonts w:hint="cs"/>
          <w:rtl/>
        </w:rPr>
        <w:t xml:space="preserve"> </w:t>
      </w:r>
      <w:r w:rsidRPr="005D4C04">
        <w:rPr>
          <w:rStyle w:val="Appelnotedebasdep"/>
          <w:rFonts w:ascii="Traditional Arabic" w:hAnsi="Traditional Arabic" w:cs="Traditional Arabic"/>
          <w:sz w:val="24"/>
          <w:szCs w:val="24"/>
        </w:rPr>
        <w:footnoteRef/>
      </w:r>
      <w:r w:rsidRPr="005D4C04">
        <w:rPr>
          <w:rFonts w:ascii="Traditional Arabic" w:hAnsi="Traditional Arabic" w:cs="Traditional Arabic"/>
          <w:sz w:val="24"/>
          <w:szCs w:val="24"/>
        </w:rPr>
        <w:t xml:space="preserve"> </w:t>
      </w:r>
      <w:r w:rsidRPr="005D4C04">
        <w:rPr>
          <w:rFonts w:ascii="Traditional Arabic" w:hAnsi="Traditional Arabic" w:cs="Traditional Arabic"/>
          <w:sz w:val="24"/>
          <w:szCs w:val="24"/>
          <w:rtl/>
        </w:rPr>
        <w:t>الجاحظ، المرجع الس</w:t>
      </w:r>
      <w:r w:rsidR="00764DC6">
        <w:rPr>
          <w:rFonts w:ascii="Traditional Arabic" w:hAnsi="Traditional Arabic" w:cs="Traditional Arabic" w:hint="cs"/>
          <w:sz w:val="24"/>
          <w:szCs w:val="24"/>
          <w:rtl/>
        </w:rPr>
        <w:t>َّ</w:t>
      </w:r>
      <w:r w:rsidRPr="005D4C04">
        <w:rPr>
          <w:rFonts w:ascii="Traditional Arabic" w:hAnsi="Traditional Arabic" w:cs="Traditional Arabic"/>
          <w:sz w:val="24"/>
          <w:szCs w:val="24"/>
          <w:rtl/>
        </w:rPr>
        <w:t>ابق، ج</w:t>
      </w:r>
      <w:r w:rsidRPr="005D4C04">
        <w:rPr>
          <w:rFonts w:ascii="Traditional Arabic" w:hAnsi="Traditional Arabic" w:cs="Traditional Arabic" w:hint="cs"/>
          <w:sz w:val="24"/>
          <w:szCs w:val="24"/>
          <w:rtl/>
        </w:rPr>
        <w:t>3،</w:t>
      </w:r>
      <w:r w:rsidRPr="005D4C04">
        <w:rPr>
          <w:rFonts w:ascii="Traditional Arabic" w:hAnsi="Traditional Arabic" w:cs="Traditional Arabic"/>
          <w:sz w:val="24"/>
          <w:szCs w:val="24"/>
          <w:rtl/>
        </w:rPr>
        <w:t xml:space="preserve"> ص</w:t>
      </w:r>
      <w:r w:rsidRPr="005D4C04">
        <w:rPr>
          <w:rFonts w:ascii="Traditional Arabic" w:hAnsi="Traditional Arabic" w:cs="Traditional Arabic" w:hint="cs"/>
          <w:sz w:val="24"/>
          <w:szCs w:val="24"/>
          <w:rtl/>
        </w:rPr>
        <w:t>33.</w:t>
      </w:r>
    </w:p>
  </w:footnote>
  <w:footnote w:id="20">
    <w:p w:rsidR="005D4C04" w:rsidRPr="005D4C04" w:rsidRDefault="005D4C04" w:rsidP="005D4C04">
      <w:pPr>
        <w:pStyle w:val="Notedebasdepage"/>
        <w:jc w:val="right"/>
        <w:rPr>
          <w:rFonts w:ascii="Traditional Arabic" w:hAnsi="Traditional Arabic" w:cs="Traditional Arabic"/>
          <w:sz w:val="24"/>
          <w:szCs w:val="24"/>
          <w:rtl/>
        </w:rPr>
      </w:pPr>
      <w:r>
        <w:rPr>
          <w:rFonts w:hint="cs"/>
          <w:rtl/>
        </w:rPr>
        <w:t xml:space="preserve"> </w:t>
      </w:r>
      <w:r w:rsidRPr="005D4C04">
        <w:rPr>
          <w:rStyle w:val="Appelnotedebasdep"/>
          <w:rFonts w:ascii="Traditional Arabic" w:hAnsi="Traditional Arabic" w:cs="Traditional Arabic"/>
          <w:sz w:val="24"/>
          <w:szCs w:val="24"/>
        </w:rPr>
        <w:footnoteRef/>
      </w:r>
      <w:r w:rsidRPr="005D4C04">
        <w:rPr>
          <w:rFonts w:ascii="Traditional Arabic" w:hAnsi="Traditional Arabic" w:cs="Traditional Arabic"/>
          <w:sz w:val="24"/>
          <w:szCs w:val="24"/>
        </w:rPr>
        <w:t xml:space="preserve"> </w:t>
      </w:r>
      <w:r w:rsidRPr="005D4C04">
        <w:rPr>
          <w:rFonts w:ascii="Traditional Arabic" w:hAnsi="Traditional Arabic" w:cs="Traditional Arabic"/>
          <w:sz w:val="24"/>
          <w:szCs w:val="24"/>
          <w:rtl/>
        </w:rPr>
        <w:t>المرجع نفسهُ، ص</w:t>
      </w:r>
      <w:r w:rsidRPr="005D4C04">
        <w:rPr>
          <w:rFonts w:ascii="Traditional Arabic" w:hAnsi="Traditional Arabic" w:cs="Traditional Arabic" w:hint="cs"/>
          <w:sz w:val="24"/>
          <w:szCs w:val="24"/>
          <w:rtl/>
        </w:rPr>
        <w:t>81.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87E"/>
    <w:rsid w:val="00000B29"/>
    <w:rsid w:val="00003E51"/>
    <w:rsid w:val="00016107"/>
    <w:rsid w:val="00034081"/>
    <w:rsid w:val="00037DEE"/>
    <w:rsid w:val="00050F3F"/>
    <w:rsid w:val="00062B7C"/>
    <w:rsid w:val="00085F68"/>
    <w:rsid w:val="000A0ADE"/>
    <w:rsid w:val="000B4AEB"/>
    <w:rsid w:val="000C0743"/>
    <w:rsid w:val="000C3D99"/>
    <w:rsid w:val="000D65A0"/>
    <w:rsid w:val="000E08ED"/>
    <w:rsid w:val="000E1340"/>
    <w:rsid w:val="00121C1D"/>
    <w:rsid w:val="0014094E"/>
    <w:rsid w:val="0015338A"/>
    <w:rsid w:val="00167C88"/>
    <w:rsid w:val="00190326"/>
    <w:rsid w:val="00190FCC"/>
    <w:rsid w:val="001A3279"/>
    <w:rsid w:val="001A4997"/>
    <w:rsid w:val="001E5DE2"/>
    <w:rsid w:val="001E6AD9"/>
    <w:rsid w:val="00205B8B"/>
    <w:rsid w:val="002307CF"/>
    <w:rsid w:val="00230C90"/>
    <w:rsid w:val="00266ABD"/>
    <w:rsid w:val="00295986"/>
    <w:rsid w:val="002C4FC6"/>
    <w:rsid w:val="002E08D0"/>
    <w:rsid w:val="002E3635"/>
    <w:rsid w:val="002E43B8"/>
    <w:rsid w:val="00313BF0"/>
    <w:rsid w:val="00365B71"/>
    <w:rsid w:val="0037293C"/>
    <w:rsid w:val="0037321C"/>
    <w:rsid w:val="00392D59"/>
    <w:rsid w:val="003A35C8"/>
    <w:rsid w:val="003A7A62"/>
    <w:rsid w:val="003B6130"/>
    <w:rsid w:val="003D40C8"/>
    <w:rsid w:val="003D632F"/>
    <w:rsid w:val="00400745"/>
    <w:rsid w:val="00406243"/>
    <w:rsid w:val="00414722"/>
    <w:rsid w:val="00423367"/>
    <w:rsid w:val="004241F1"/>
    <w:rsid w:val="00450A43"/>
    <w:rsid w:val="00451F9A"/>
    <w:rsid w:val="004578EB"/>
    <w:rsid w:val="0047211B"/>
    <w:rsid w:val="0048087E"/>
    <w:rsid w:val="004A638E"/>
    <w:rsid w:val="004C1D9F"/>
    <w:rsid w:val="004C2590"/>
    <w:rsid w:val="004C3BE3"/>
    <w:rsid w:val="004C4C89"/>
    <w:rsid w:val="004C58B0"/>
    <w:rsid w:val="004E3191"/>
    <w:rsid w:val="004E3ADF"/>
    <w:rsid w:val="004F7EDE"/>
    <w:rsid w:val="00522529"/>
    <w:rsid w:val="00526D2B"/>
    <w:rsid w:val="00527C03"/>
    <w:rsid w:val="00536E44"/>
    <w:rsid w:val="005544F5"/>
    <w:rsid w:val="00564C99"/>
    <w:rsid w:val="00590EED"/>
    <w:rsid w:val="005B2670"/>
    <w:rsid w:val="005B6128"/>
    <w:rsid w:val="005B69C5"/>
    <w:rsid w:val="005D4C04"/>
    <w:rsid w:val="005E4FEF"/>
    <w:rsid w:val="005F2138"/>
    <w:rsid w:val="0063620D"/>
    <w:rsid w:val="00636212"/>
    <w:rsid w:val="006470B9"/>
    <w:rsid w:val="0064745D"/>
    <w:rsid w:val="0065079D"/>
    <w:rsid w:val="00653D48"/>
    <w:rsid w:val="00680672"/>
    <w:rsid w:val="0068437E"/>
    <w:rsid w:val="00693836"/>
    <w:rsid w:val="00696DBC"/>
    <w:rsid w:val="006A5F1B"/>
    <w:rsid w:val="006A69B9"/>
    <w:rsid w:val="006C5E20"/>
    <w:rsid w:val="006E7148"/>
    <w:rsid w:val="006F4F7B"/>
    <w:rsid w:val="00706809"/>
    <w:rsid w:val="00707A0F"/>
    <w:rsid w:val="00725FB1"/>
    <w:rsid w:val="00750C02"/>
    <w:rsid w:val="0076017E"/>
    <w:rsid w:val="00764DC6"/>
    <w:rsid w:val="00786804"/>
    <w:rsid w:val="007F0FF5"/>
    <w:rsid w:val="00804C98"/>
    <w:rsid w:val="00815505"/>
    <w:rsid w:val="00833318"/>
    <w:rsid w:val="00840E9D"/>
    <w:rsid w:val="00861AEF"/>
    <w:rsid w:val="00890E07"/>
    <w:rsid w:val="008C2161"/>
    <w:rsid w:val="008F40CF"/>
    <w:rsid w:val="009376F8"/>
    <w:rsid w:val="00940FAE"/>
    <w:rsid w:val="00944CB8"/>
    <w:rsid w:val="00945888"/>
    <w:rsid w:val="00974D26"/>
    <w:rsid w:val="00983129"/>
    <w:rsid w:val="00984CA2"/>
    <w:rsid w:val="009B63EE"/>
    <w:rsid w:val="009E6E80"/>
    <w:rsid w:val="009F0C8D"/>
    <w:rsid w:val="00A00218"/>
    <w:rsid w:val="00A05B71"/>
    <w:rsid w:val="00A17DD2"/>
    <w:rsid w:val="00A34BF3"/>
    <w:rsid w:val="00A37F46"/>
    <w:rsid w:val="00A56155"/>
    <w:rsid w:val="00A565E3"/>
    <w:rsid w:val="00A5714F"/>
    <w:rsid w:val="00A70993"/>
    <w:rsid w:val="00A8176C"/>
    <w:rsid w:val="00A954BF"/>
    <w:rsid w:val="00A96F6E"/>
    <w:rsid w:val="00AA14B1"/>
    <w:rsid w:val="00AA710A"/>
    <w:rsid w:val="00AB023B"/>
    <w:rsid w:val="00AB099F"/>
    <w:rsid w:val="00AD436C"/>
    <w:rsid w:val="00AE543F"/>
    <w:rsid w:val="00B017EF"/>
    <w:rsid w:val="00B02C53"/>
    <w:rsid w:val="00B246B9"/>
    <w:rsid w:val="00B2725E"/>
    <w:rsid w:val="00B46070"/>
    <w:rsid w:val="00B53206"/>
    <w:rsid w:val="00B60EFF"/>
    <w:rsid w:val="00B72DD6"/>
    <w:rsid w:val="00B82108"/>
    <w:rsid w:val="00B8583A"/>
    <w:rsid w:val="00BA1513"/>
    <w:rsid w:val="00BA2B12"/>
    <w:rsid w:val="00BA6D02"/>
    <w:rsid w:val="00BB113E"/>
    <w:rsid w:val="00BE160B"/>
    <w:rsid w:val="00BE726D"/>
    <w:rsid w:val="00BF6278"/>
    <w:rsid w:val="00BF64A5"/>
    <w:rsid w:val="00C224D5"/>
    <w:rsid w:val="00C2393E"/>
    <w:rsid w:val="00C24409"/>
    <w:rsid w:val="00C30F36"/>
    <w:rsid w:val="00C6739F"/>
    <w:rsid w:val="00C9602F"/>
    <w:rsid w:val="00CB1966"/>
    <w:rsid w:val="00CB55CF"/>
    <w:rsid w:val="00CF0E43"/>
    <w:rsid w:val="00D131EF"/>
    <w:rsid w:val="00D14FB1"/>
    <w:rsid w:val="00D25926"/>
    <w:rsid w:val="00D57A26"/>
    <w:rsid w:val="00D57A2A"/>
    <w:rsid w:val="00D662D3"/>
    <w:rsid w:val="00D664B4"/>
    <w:rsid w:val="00D772D3"/>
    <w:rsid w:val="00D822BA"/>
    <w:rsid w:val="00D848D4"/>
    <w:rsid w:val="00D955C8"/>
    <w:rsid w:val="00DC0754"/>
    <w:rsid w:val="00DE53E3"/>
    <w:rsid w:val="00DF3933"/>
    <w:rsid w:val="00E203F5"/>
    <w:rsid w:val="00E2225E"/>
    <w:rsid w:val="00E22502"/>
    <w:rsid w:val="00E22DD7"/>
    <w:rsid w:val="00E463D5"/>
    <w:rsid w:val="00E501BE"/>
    <w:rsid w:val="00E66306"/>
    <w:rsid w:val="00E80A58"/>
    <w:rsid w:val="00E960F2"/>
    <w:rsid w:val="00EA71C5"/>
    <w:rsid w:val="00EB5968"/>
    <w:rsid w:val="00EF0307"/>
    <w:rsid w:val="00EF2246"/>
    <w:rsid w:val="00F0499B"/>
    <w:rsid w:val="00F06D13"/>
    <w:rsid w:val="00F34E97"/>
    <w:rsid w:val="00F50C3C"/>
    <w:rsid w:val="00F725D6"/>
    <w:rsid w:val="00F8134A"/>
    <w:rsid w:val="00FA2F68"/>
    <w:rsid w:val="00FE082E"/>
    <w:rsid w:val="00FE575D"/>
    <w:rsid w:val="00FF15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04DE"/>
  <w15:chartTrackingRefBased/>
  <w15:docId w15:val="{32123890-85E7-4E59-AB40-C172C46F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D14F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6507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50F3F"/>
    <w:rPr>
      <w:color w:val="0563C1" w:themeColor="hyperlink"/>
      <w:u w:val="single"/>
    </w:rPr>
  </w:style>
  <w:style w:type="character" w:customStyle="1" w:styleId="Titre2Car">
    <w:name w:val="Titre 2 Car"/>
    <w:basedOn w:val="Policepardfaut"/>
    <w:link w:val="Titre2"/>
    <w:uiPriority w:val="9"/>
    <w:semiHidden/>
    <w:rsid w:val="00D14FB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65079D"/>
    <w:rPr>
      <w:rFonts w:asciiTheme="majorHAnsi" w:eastAsiaTheme="majorEastAsia" w:hAnsiTheme="majorHAnsi" w:cstheme="majorBidi"/>
      <w:color w:val="1F4D78" w:themeColor="accent1" w:themeShade="7F"/>
      <w:sz w:val="24"/>
      <w:szCs w:val="24"/>
    </w:rPr>
  </w:style>
  <w:style w:type="paragraph" w:styleId="En-tte">
    <w:name w:val="header"/>
    <w:basedOn w:val="Normal"/>
    <w:link w:val="En-tteCar"/>
    <w:uiPriority w:val="99"/>
    <w:unhideWhenUsed/>
    <w:rsid w:val="00406243"/>
    <w:pPr>
      <w:tabs>
        <w:tab w:val="center" w:pos="4536"/>
        <w:tab w:val="right" w:pos="9072"/>
      </w:tabs>
      <w:spacing w:after="0" w:line="240" w:lineRule="auto"/>
    </w:pPr>
  </w:style>
  <w:style w:type="character" w:customStyle="1" w:styleId="En-tteCar">
    <w:name w:val="En-tête Car"/>
    <w:basedOn w:val="Policepardfaut"/>
    <w:link w:val="En-tte"/>
    <w:uiPriority w:val="99"/>
    <w:rsid w:val="00406243"/>
  </w:style>
  <w:style w:type="paragraph" w:styleId="Pieddepage">
    <w:name w:val="footer"/>
    <w:basedOn w:val="Normal"/>
    <w:link w:val="PieddepageCar"/>
    <w:uiPriority w:val="99"/>
    <w:unhideWhenUsed/>
    <w:rsid w:val="004062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243"/>
  </w:style>
  <w:style w:type="paragraph" w:styleId="Notedebasdepage">
    <w:name w:val="footnote text"/>
    <w:basedOn w:val="Normal"/>
    <w:link w:val="NotedebasdepageCar"/>
    <w:uiPriority w:val="99"/>
    <w:semiHidden/>
    <w:unhideWhenUsed/>
    <w:rsid w:val="009B63E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B63EE"/>
    <w:rPr>
      <w:sz w:val="20"/>
      <w:szCs w:val="20"/>
    </w:rPr>
  </w:style>
  <w:style w:type="character" w:styleId="Appelnotedebasdep">
    <w:name w:val="footnote reference"/>
    <w:basedOn w:val="Policepardfaut"/>
    <w:uiPriority w:val="99"/>
    <w:semiHidden/>
    <w:unhideWhenUsed/>
    <w:rsid w:val="009B63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2250">
      <w:bodyDiv w:val="1"/>
      <w:marLeft w:val="0"/>
      <w:marRight w:val="0"/>
      <w:marTop w:val="0"/>
      <w:marBottom w:val="0"/>
      <w:divBdr>
        <w:top w:val="none" w:sz="0" w:space="0" w:color="auto"/>
        <w:left w:val="none" w:sz="0" w:space="0" w:color="auto"/>
        <w:bottom w:val="none" w:sz="0" w:space="0" w:color="auto"/>
        <w:right w:val="none" w:sz="0" w:space="0" w:color="auto"/>
      </w:divBdr>
    </w:div>
    <w:div w:id="1786542120">
      <w:bodyDiv w:val="1"/>
      <w:marLeft w:val="0"/>
      <w:marRight w:val="0"/>
      <w:marTop w:val="0"/>
      <w:marBottom w:val="0"/>
      <w:divBdr>
        <w:top w:val="none" w:sz="0" w:space="0" w:color="auto"/>
        <w:left w:val="none" w:sz="0" w:space="0" w:color="auto"/>
        <w:bottom w:val="none" w:sz="0" w:space="0" w:color="auto"/>
        <w:right w:val="none" w:sz="0" w:space="0" w:color="auto"/>
      </w:divBdr>
    </w:div>
    <w:div w:id="21354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rahquran.com/aya-53-sora-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28F9-FF31-4077-B59C-63962D3C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2646</TotalTime>
  <Pages>1</Pages>
  <Words>2569</Words>
  <Characters>14135</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dc:creator>
  <cp:keywords/>
  <dc:description/>
  <cp:lastModifiedBy>soft</cp:lastModifiedBy>
  <cp:revision>45</cp:revision>
  <dcterms:created xsi:type="dcterms:W3CDTF">2023-01-12T19:18:00Z</dcterms:created>
  <dcterms:modified xsi:type="dcterms:W3CDTF">2023-02-12T11:54:00Z</dcterms:modified>
</cp:coreProperties>
</file>